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056C78"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ПР. ЛЕНИНА, Д. 86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C09AB">
        <w:t>пр. Ленина, д. 86</w:t>
      </w:r>
      <w:r w:rsidR="00D945D9" w:rsidRPr="006E51C0">
        <w:t>»</w:t>
      </w:r>
      <w:r w:rsidR="00336CBB" w:rsidRPr="006E51C0">
        <w:rPr>
          <w:rFonts w:eastAsia="Calibri"/>
          <w:lang w:eastAsia="ar-SA"/>
        </w:rPr>
        <w:t>;</w:t>
      </w:r>
    </w:p>
    <w:p w:rsidR="003C14BF" w:rsidRPr="00C44F0E" w:rsidRDefault="000724A4" w:rsidP="003C14BF">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3C14BF" w:rsidRPr="00062095">
        <w:rPr>
          <w:rFonts w:eastAsia="Calibri"/>
          <w:snapToGrid w:val="0"/>
          <w:color w:val="000000"/>
          <w:lang w:eastAsia="ar-SA"/>
        </w:rPr>
        <w:t>5 175 404,62</w:t>
      </w:r>
      <w:r w:rsidR="003C14BF">
        <w:rPr>
          <w:rFonts w:eastAsia="Calibri"/>
          <w:snapToGrid w:val="0"/>
          <w:color w:val="000000"/>
          <w:lang w:eastAsia="ar-SA"/>
        </w:rPr>
        <w:t xml:space="preserve"> руб. (пять миллионов сто семьдесят пять тысяч четыреста четыре) рубля 62 копейки.</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2D0850">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 xml:space="preserve">от 30.09.2014 № 494-ПП </w:t>
      </w:r>
      <w:r w:rsidR="002D0850" w:rsidRPr="003C365B">
        <w:t>в последующих редакциях</w:t>
      </w:r>
      <w:r w:rsidR="002D0850"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2D0850">
        <w:rPr>
          <w:rFonts w:eastAsia="Calibri"/>
          <w:lang w:eastAsia="ar-SA"/>
        </w:rPr>
        <w:t>12</w:t>
      </w:r>
      <w:r w:rsidR="008B6A33">
        <w:rPr>
          <w:rFonts w:eastAsia="Calibri"/>
          <w:lang w:eastAsia="ar-SA"/>
        </w:rPr>
        <w:t xml:space="preserve"> </w:t>
      </w:r>
      <w:r w:rsidR="002D0850">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2D0850">
        <w:rPr>
          <w:rFonts w:eastAsia="Calibri"/>
          <w:lang w:eastAsia="ar-SA"/>
        </w:rPr>
        <w:t>26</w:t>
      </w:r>
      <w:r w:rsidR="007F6C90">
        <w:rPr>
          <w:rFonts w:eastAsia="Calibri"/>
          <w:lang w:eastAsia="ar-SA"/>
        </w:rPr>
        <w:t xml:space="preserve"> </w:t>
      </w:r>
      <w:r w:rsidR="002D0850">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lastRenderedPageBreak/>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E727E0" w:rsidP="00402681">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86</w:t>
      </w:r>
      <w:r w:rsidR="00D945D9" w:rsidRPr="006E51C0">
        <w:rPr>
          <w:b/>
        </w:rPr>
        <w:t>»</w:t>
      </w:r>
      <w:r w:rsidR="008335D1" w:rsidRPr="006E51C0">
        <w:rPr>
          <w:b/>
        </w:rPr>
        <w:t>.</w:t>
      </w:r>
      <w:r w:rsidR="00402681">
        <w:rPr>
          <w:rFonts w:eastAsia="Calibri"/>
          <w:b/>
          <w:lang w:eastAsia="ar-SA"/>
        </w:rPr>
        <w:t xml:space="preserve"> </w:t>
      </w:r>
    </w:p>
    <w:p w:rsidR="00FB6995" w:rsidRPr="00402681" w:rsidRDefault="00DE734F"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2D0850">
        <w:rPr>
          <w:b/>
        </w:rPr>
        <w:t>27</w:t>
      </w:r>
      <w:r w:rsidR="007D754E">
        <w:rPr>
          <w:b/>
        </w:rPr>
        <w:t xml:space="preserve"> </w:t>
      </w:r>
      <w:r w:rsidR="002D0850">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2D0850">
        <w:rPr>
          <w:rFonts w:eastAsia="Calibri"/>
          <w:color w:val="000000"/>
          <w:lang w:eastAsia="ar-SA"/>
        </w:rPr>
        <w:t>27</w:t>
      </w:r>
      <w:r w:rsidR="00402681">
        <w:rPr>
          <w:rFonts w:eastAsia="Calibri"/>
          <w:color w:val="000000"/>
          <w:lang w:eastAsia="ar-SA"/>
        </w:rPr>
        <w:t xml:space="preserve"> </w:t>
      </w:r>
      <w:r w:rsidR="002D0850">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072C96">
        <w:rPr>
          <w:rFonts w:eastAsia="Calibri"/>
          <w:lang w:eastAsia="ar-SA"/>
        </w:rPr>
        <w:t>20</w:t>
      </w:r>
      <w:r w:rsidRPr="006E51C0">
        <w:rPr>
          <w:rFonts w:eastAsia="Calibri"/>
          <w:lang w:eastAsia="ar-SA"/>
        </w:rPr>
        <w:t xml:space="preserve"> (</w:t>
      </w:r>
      <w:r w:rsidR="002D0850">
        <w:rPr>
          <w:rFonts w:eastAsia="Calibri"/>
          <w:lang w:eastAsia="ar-SA"/>
        </w:rPr>
        <w:t>д</w:t>
      </w:r>
      <w:r w:rsidR="00072C96">
        <w:rPr>
          <w:rFonts w:eastAsia="Calibri"/>
          <w:lang w:eastAsia="ar-SA"/>
        </w:rPr>
        <w:t>вадцать</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E727E0">
        <w:rPr>
          <w:rFonts w:eastAsia="Calibri"/>
          <w:lang w:eastAsia="ar-SA"/>
        </w:rPr>
        <w:t>пр. Ленина, д. 86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E727E0" w:rsidP="00FA67C6">
      <w:pPr>
        <w:suppressAutoHyphens/>
        <w:spacing w:after="0" w:line="240" w:lineRule="auto"/>
        <w:jc w:val="both"/>
        <w:rPr>
          <w:rFonts w:eastAsia="Calibri"/>
          <w:b/>
          <w:lang w:eastAsia="ar-SA"/>
        </w:rPr>
      </w:pPr>
      <w:r>
        <w:rPr>
          <w:b/>
        </w:rPr>
        <w:t>пр. Ленина, д. 86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072C96">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072C96">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lastRenderedPageBreak/>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lastRenderedPageBreak/>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727E0" w:rsidP="00FF6439">
      <w:pPr>
        <w:suppressAutoHyphens/>
        <w:spacing w:after="0" w:line="240" w:lineRule="auto"/>
        <w:jc w:val="both"/>
        <w:rPr>
          <w:rFonts w:eastAsia="Calibri"/>
          <w:lang w:eastAsia="ar-SA"/>
        </w:rPr>
      </w:pPr>
      <w:r>
        <w:t>пр. Ленина, д. 86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E727E0" w:rsidP="0087258E">
      <w:pPr>
        <w:suppressAutoHyphens/>
        <w:spacing w:after="0" w:line="240" w:lineRule="auto"/>
        <w:jc w:val="both"/>
      </w:pPr>
      <w:r>
        <w:t>пр. Ленина, д. 86»</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w:t>
            </w:r>
            <w:r w:rsidRPr="00207913">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2D0850" w:rsidRDefault="006400CC" w:rsidP="006400CC">
      <w:pPr>
        <w:suppressAutoHyphens/>
        <w:spacing w:after="0" w:line="240" w:lineRule="auto"/>
        <w:jc w:val="center"/>
        <w:rPr>
          <w:color w:val="000000"/>
        </w:rPr>
      </w:pPr>
      <w:r>
        <w:rPr>
          <w:color w:val="000000"/>
        </w:rPr>
        <w:t xml:space="preserve">                                                                             </w:t>
      </w: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2D0850" w:rsidRDefault="002D0850" w:rsidP="006400CC">
      <w:pPr>
        <w:suppressAutoHyphens/>
        <w:spacing w:after="0" w:line="240" w:lineRule="auto"/>
        <w:jc w:val="center"/>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2D0850">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E727E0">
        <w:rPr>
          <w:rFonts w:eastAsia="Times New Roman"/>
          <w:b/>
          <w:lang w:eastAsia="ru-RU"/>
        </w:rPr>
        <w:t>к, пр. Ленина, д. 86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072C96">
        <w:rPr>
          <w:rFonts w:eastAsia="Times New Roman"/>
          <w:lang w:eastAsia="ru-RU"/>
        </w:rPr>
        <w:t>01</w:t>
      </w:r>
      <w:r w:rsidRPr="004E0F76">
        <w:rPr>
          <w:rFonts w:eastAsia="Times New Roman"/>
          <w:lang w:eastAsia="ru-RU"/>
        </w:rPr>
        <w:t>.0</w:t>
      </w:r>
      <w:r w:rsidR="002D0850">
        <w:rPr>
          <w:rFonts w:eastAsia="Times New Roman"/>
          <w:lang w:eastAsia="ru-RU"/>
        </w:rPr>
        <w:t>8</w:t>
      </w:r>
      <w:r w:rsidRPr="004E0F76">
        <w:rPr>
          <w:rFonts w:eastAsia="Times New Roman"/>
          <w:lang w:eastAsia="ru-RU"/>
        </w:rPr>
        <w:t>.201</w:t>
      </w:r>
      <w:r w:rsidR="00072C96">
        <w:rPr>
          <w:rFonts w:eastAsia="Times New Roman"/>
          <w:lang w:eastAsia="ru-RU"/>
        </w:rPr>
        <w:t>6</w:t>
      </w:r>
      <w:r w:rsidRPr="004E0F76">
        <w:rPr>
          <w:rFonts w:eastAsia="Times New Roman"/>
          <w:lang w:eastAsia="ru-RU"/>
        </w:rPr>
        <w:t xml:space="preserve"> № </w:t>
      </w:r>
      <w:r w:rsidR="002D0850">
        <w:rPr>
          <w:rFonts w:eastAsia="Times New Roman"/>
          <w:lang w:eastAsia="ru-RU"/>
        </w:rPr>
        <w:t>370</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lastRenderedPageBreak/>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2D0850">
        <w:rPr>
          <w:rFonts w:eastAsia="Calibri"/>
          <w:lang w:eastAsia="ar-SA"/>
        </w:rPr>
        <w:t>1</w:t>
      </w:r>
      <w:r w:rsidRPr="004E0F76">
        <w:rPr>
          <w:rFonts w:eastAsia="Calibri"/>
          <w:lang w:eastAsia="ar-SA"/>
        </w:rPr>
        <w:t xml:space="preserve"> </w:t>
      </w:r>
      <w:r w:rsidR="002D0850">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6.1.</w:t>
      </w:r>
      <w:r w:rsidRPr="0066245D">
        <w:rPr>
          <w:rFonts w:eastAsia="Times New Roman"/>
          <w:lang w:eastAsia="ru-RU"/>
        </w:rPr>
        <w:tab/>
        <w:t xml:space="preserve">При выполнении Договора Подрядчик обязан: </w:t>
      </w:r>
    </w:p>
    <w:p w:rsidR="0041350B" w:rsidRPr="0041350B" w:rsidRDefault="00BD4C56" w:rsidP="0041350B">
      <w:pPr>
        <w:spacing w:after="0" w:line="240" w:lineRule="auto"/>
        <w:ind w:firstLine="709"/>
        <w:jc w:val="both"/>
        <w:rPr>
          <w:rFonts w:eastAsia="Times New Roman"/>
          <w:lang w:eastAsia="ru-RU"/>
        </w:rPr>
      </w:pPr>
      <w:r w:rsidRPr="0066245D">
        <w:rPr>
          <w:rFonts w:eastAsia="Times New Roman"/>
          <w:lang w:eastAsia="ru-RU"/>
        </w:rPr>
        <w:t>6.1.1.</w:t>
      </w:r>
      <w:r w:rsidR="0041350B" w:rsidRPr="0041350B">
        <w:t xml:space="preserve"> </w:t>
      </w:r>
      <w:r w:rsidR="0041350B" w:rsidRPr="0041350B">
        <w:rPr>
          <w:rFonts w:eastAsia="Times New Roman"/>
          <w:lang w:eastAsia="ru-RU"/>
        </w:rPr>
        <w:t>Принять от Заказчика по акту объект для производства работ.</w:t>
      </w:r>
    </w:p>
    <w:p w:rsidR="00BD4C56" w:rsidRPr="0066245D" w:rsidRDefault="0041350B" w:rsidP="0041350B">
      <w:pPr>
        <w:spacing w:after="0" w:line="240" w:lineRule="auto"/>
        <w:ind w:firstLine="709"/>
        <w:jc w:val="both"/>
        <w:rPr>
          <w:rFonts w:eastAsia="Times New Roman"/>
          <w:lang w:eastAsia="ru-RU"/>
        </w:rPr>
      </w:pPr>
      <w:r w:rsidRPr="0041350B">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2D0850" w:rsidRDefault="00BD4C56" w:rsidP="002D0850">
      <w:pPr>
        <w:jc w:val="both"/>
      </w:pPr>
      <w:r>
        <w:rPr>
          <w:rFonts w:eastAsia="Times New Roman"/>
          <w:lang w:eastAsia="ru-RU"/>
        </w:rPr>
        <w:t xml:space="preserve">6.1.12. </w:t>
      </w:r>
      <w:r w:rsidR="002D0850"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указанные в рекламационном акте, Заказчик вправе </w:t>
      </w:r>
      <w:r w:rsidRPr="00160268">
        <w:rPr>
          <w:sz w:val="28"/>
          <w:szCs w:val="28"/>
        </w:rPr>
        <w:lastRenderedPageBreak/>
        <w:t>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xml:space="preserve">. При проведении капитального ремонта по нескольким видам работ на объекте – сдача результатов выполненных работ оформляется актами </w:t>
      </w:r>
      <w:r w:rsidR="00BD4C56" w:rsidRPr="00A23B87">
        <w:rPr>
          <w:rFonts w:eastAsia="Times New Roman"/>
          <w:lang w:eastAsia="ru-RU"/>
        </w:rPr>
        <w:lastRenderedPageBreak/>
        <w:t>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w:t>
      </w:r>
      <w:r w:rsidRPr="0066245D">
        <w:rPr>
          <w:rFonts w:eastAsia="Times New Roman"/>
          <w:lang w:eastAsia="ru-RU"/>
        </w:rPr>
        <w:lastRenderedPageBreak/>
        <w:t>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w:t>
      </w:r>
      <w:r w:rsidRPr="0066245D">
        <w:rPr>
          <w:rFonts w:eastAsia="Times New Roman"/>
          <w:lang w:eastAsia="ru-RU"/>
        </w:rPr>
        <w:lastRenderedPageBreak/>
        <w:t>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2913C0">
        <w:rPr>
          <w:b/>
        </w:rPr>
        <w:t>ск,</w:t>
      </w:r>
      <w:r w:rsidR="00E727E0">
        <w:rPr>
          <w:b/>
        </w:rPr>
        <w:t xml:space="preserve"> пр. Ленина, д. 86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2D0850">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114C51">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114C51">
              <w:rPr>
                <w:rFonts w:eastAsia="Calibri"/>
                <w:sz w:val="24"/>
                <w:szCs w:val="24"/>
              </w:rPr>
              <w:t xml:space="preserve"> от 01.0</w:t>
            </w:r>
            <w:r w:rsidR="002D0850">
              <w:rPr>
                <w:rFonts w:eastAsia="Calibri"/>
                <w:sz w:val="24"/>
                <w:szCs w:val="24"/>
              </w:rPr>
              <w:t>8</w:t>
            </w:r>
            <w:r w:rsidR="00114C51">
              <w:rPr>
                <w:rFonts w:eastAsia="Calibri"/>
                <w:sz w:val="24"/>
                <w:szCs w:val="24"/>
              </w:rPr>
              <w:t>.2016</w:t>
            </w:r>
            <w:r w:rsidR="006B1631" w:rsidRPr="006E51C0">
              <w:rPr>
                <w:rFonts w:eastAsia="Calibri"/>
                <w:sz w:val="24"/>
                <w:szCs w:val="24"/>
              </w:rPr>
              <w:t xml:space="preserve"> № </w:t>
            </w:r>
            <w:r w:rsidR="002D0850">
              <w:rPr>
                <w:rFonts w:eastAsia="Calibri"/>
                <w:sz w:val="24"/>
                <w:szCs w:val="24"/>
              </w:rPr>
              <w:t>370</w:t>
            </w:r>
            <w:r w:rsidR="006B1631" w:rsidRPr="006E51C0">
              <w:rPr>
                <w:rFonts w:eastAsia="Calibri"/>
                <w:sz w:val="24"/>
                <w:szCs w:val="24"/>
              </w:rPr>
              <w:t>-ПП</w:t>
            </w:r>
            <w:r w:rsidR="00114C51">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E727E0" w:rsidP="008765BB">
            <w:pPr>
              <w:ind w:left="34"/>
              <w:jc w:val="both"/>
              <w:rPr>
                <w:sz w:val="24"/>
                <w:szCs w:val="24"/>
              </w:rPr>
            </w:pPr>
            <w:r>
              <w:rPr>
                <w:sz w:val="24"/>
                <w:szCs w:val="24"/>
              </w:rPr>
              <w:t>город Мурманск, пр. Ленина, д. 86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727E0">
              <w:rPr>
                <w:rFonts w:eastAsia="Calibri"/>
                <w:sz w:val="24"/>
                <w:szCs w:val="24"/>
                <w:lang w:eastAsia="ar-SA"/>
              </w:rPr>
              <w:t>62</w:t>
            </w:r>
          </w:p>
          <w:p w:rsidR="00E727E0" w:rsidRPr="006E51C0" w:rsidRDefault="00E727E0" w:rsidP="006F3981">
            <w:pPr>
              <w:suppressAutoHyphens/>
              <w:spacing w:after="0" w:line="240" w:lineRule="auto"/>
              <w:jc w:val="both"/>
              <w:rPr>
                <w:rFonts w:eastAsia="Calibri"/>
                <w:sz w:val="24"/>
                <w:szCs w:val="24"/>
                <w:lang w:eastAsia="ar-SA"/>
              </w:rPr>
            </w:pPr>
            <w:r>
              <w:rPr>
                <w:rFonts w:eastAsia="Calibri"/>
                <w:sz w:val="24"/>
                <w:szCs w:val="24"/>
                <w:lang w:eastAsia="ar-SA"/>
              </w:rPr>
              <w:t>Количество этажей – 4, 5</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727E0">
              <w:rPr>
                <w:rFonts w:eastAsia="Calibri"/>
                <w:sz w:val="24"/>
                <w:szCs w:val="24"/>
                <w:lang w:eastAsia="ar-SA"/>
              </w:rPr>
              <w:t>54 года</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114C51" w:rsidRPr="006E51C0" w:rsidRDefault="00114C51" w:rsidP="00D00561">
            <w:pPr>
              <w:suppressAutoHyphens/>
              <w:spacing w:after="0" w:line="240" w:lineRule="auto"/>
              <w:ind w:left="227"/>
              <w:jc w:val="both"/>
              <w:rPr>
                <w:rFonts w:eastAsia="Calibri"/>
                <w:sz w:val="24"/>
                <w:szCs w:val="24"/>
                <w:lang w:eastAsia="ar-SA"/>
              </w:rPr>
            </w:pPr>
            <w:r w:rsidRPr="00114C51">
              <w:rPr>
                <w:rFonts w:eastAsia="Calibri"/>
                <w:sz w:val="24"/>
                <w:szCs w:val="24"/>
                <w:lang w:eastAsia="ar-SA"/>
              </w:rPr>
              <w:t xml:space="preserve">Согласование цветового решения </w:t>
            </w:r>
            <w:r>
              <w:rPr>
                <w:rFonts w:eastAsia="Calibri"/>
                <w:sz w:val="24"/>
                <w:szCs w:val="24"/>
                <w:lang w:eastAsia="ar-SA"/>
              </w:rPr>
              <w:t>кр</w:t>
            </w:r>
            <w:r w:rsidR="000B0C42">
              <w:rPr>
                <w:rFonts w:eastAsia="Calibri"/>
                <w:sz w:val="24"/>
                <w:szCs w:val="24"/>
                <w:lang w:eastAsia="ar-SA"/>
              </w:rPr>
              <w:t>овли</w:t>
            </w:r>
            <w:r w:rsidRPr="00114C51">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580A9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580A9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sidR="002D0850">
        <w:rPr>
          <w:rFonts w:eastAsia="Calibri"/>
          <w:i/>
          <w:lang w:eastAsia="ar-SA"/>
        </w:rPr>
        <w:t xml:space="preserve"> </w:t>
      </w:r>
      <w:r w:rsidRPr="00EB52CC">
        <w:rPr>
          <w:rFonts w:eastAsia="Calibri"/>
          <w:i/>
          <w:lang w:eastAsia="ar-SA"/>
        </w:rPr>
        <w:t xml:space="preserve">п.                                                                                                                                   </w:t>
      </w:r>
      <w:r>
        <w:rPr>
          <w:rFonts w:eastAsia="Calibri"/>
          <w:i/>
          <w:lang w:eastAsia="ar-SA"/>
        </w:rPr>
        <w:t>м.</w:t>
      </w:r>
      <w:r w:rsidR="002D0850">
        <w:rPr>
          <w:rFonts w:eastAsia="Calibri"/>
          <w:i/>
          <w:lang w:eastAsia="ar-SA"/>
        </w:rPr>
        <w:t xml:space="preserve"> </w:t>
      </w:r>
      <w:r>
        <w:rPr>
          <w:rFonts w:eastAsia="Calibri"/>
          <w:i/>
          <w:lang w:eastAsia="ar-SA"/>
        </w:rPr>
        <w:t>п.</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3D4352">
        <w:rPr>
          <w:rFonts w:eastAsia="Calibri"/>
          <w:b/>
          <w:lang w:eastAsia="ar-SA"/>
        </w:rPr>
        <w:t>пр. Ленина, д. 86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2D0850">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2D0850">
              <w:rPr>
                <w:rFonts w:eastAsia="Calibri"/>
                <w:sz w:val="24"/>
                <w:szCs w:val="24"/>
                <w:lang w:eastAsia="ar-SA"/>
              </w:rPr>
              <w:t>-2017</w:t>
            </w:r>
            <w:r w:rsidRPr="006E51C0">
              <w:rPr>
                <w:rFonts w:eastAsia="Calibri"/>
                <w:sz w:val="24"/>
                <w:szCs w:val="24"/>
                <w:lang w:eastAsia="ar-SA"/>
              </w:rPr>
              <w:t xml:space="preserve"> год</w:t>
            </w:r>
            <w:r w:rsidR="002D0850">
              <w:rPr>
                <w:rFonts w:eastAsia="Calibri"/>
                <w:sz w:val="24"/>
                <w:szCs w:val="24"/>
                <w:lang w:eastAsia="ar-SA"/>
              </w:rPr>
              <w:t>ы</w:t>
            </w:r>
          </w:p>
        </w:tc>
      </w:tr>
      <w:tr w:rsidR="002D0850" w:rsidRPr="006E51C0" w:rsidTr="002D085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0850" w:rsidRPr="006E51C0" w:rsidRDefault="002D0850" w:rsidP="002D0850">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0850" w:rsidRPr="006E51C0" w:rsidRDefault="002D0850" w:rsidP="002D0850">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0850" w:rsidRPr="006E51C0" w:rsidRDefault="002D0850" w:rsidP="002D0850">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0850" w:rsidRPr="006E51C0" w:rsidRDefault="002D0850" w:rsidP="002D0850">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0850" w:rsidRPr="006E51C0" w:rsidRDefault="002D0850" w:rsidP="002D0850">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2D0850" w:rsidRDefault="002D0850" w:rsidP="002D0850">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2D0850" w:rsidRDefault="002D0850" w:rsidP="002D0850">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2D0850" w:rsidRDefault="002D0850" w:rsidP="002D0850">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2D0850" w:rsidRDefault="002D0850" w:rsidP="002D0850">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2D0850" w:rsidRDefault="002D0850" w:rsidP="002D0850">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236" w:type="dxa"/>
            <w:tcBorders>
              <w:top w:val="single" w:sz="4" w:space="0" w:color="auto"/>
              <w:left w:val="single" w:sz="4" w:space="0" w:color="auto"/>
              <w:bottom w:val="single" w:sz="4" w:space="0" w:color="auto"/>
              <w:right w:val="single" w:sz="4" w:space="0" w:color="auto"/>
            </w:tcBorders>
          </w:tcPr>
          <w:p w:rsidR="002D0850" w:rsidRDefault="002D0850" w:rsidP="002D0850">
            <w:pPr>
              <w:suppressAutoHyphens/>
              <w:spacing w:after="0" w:line="240" w:lineRule="auto"/>
              <w:jc w:val="center"/>
              <w:rPr>
                <w:rFonts w:eastAsia="Calibri"/>
                <w:sz w:val="24"/>
                <w:szCs w:val="24"/>
                <w:lang w:eastAsia="ar-SA"/>
              </w:rPr>
            </w:pPr>
          </w:p>
        </w:tc>
      </w:tr>
      <w:tr w:rsidR="002D0850" w:rsidRPr="006E51C0" w:rsidTr="002D085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2D0850" w:rsidRPr="006E51C0" w:rsidRDefault="002D0850" w:rsidP="002D0850">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2D0850" w:rsidRPr="006E51C0" w:rsidRDefault="002D0850" w:rsidP="002D085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r>
      <w:tr w:rsidR="002D0850" w:rsidRPr="006E51C0" w:rsidTr="002D085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2D0850" w:rsidRPr="006E51C0" w:rsidRDefault="002D0850" w:rsidP="002D0850">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2D0850" w:rsidRPr="006E51C0" w:rsidRDefault="002D0850" w:rsidP="002D085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r>
      <w:tr w:rsidR="002D0850" w:rsidRPr="006E51C0" w:rsidTr="002D085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2D0850" w:rsidRPr="006E51C0" w:rsidRDefault="002D0850" w:rsidP="002D0850">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2D0850">
        <w:rPr>
          <w:rFonts w:eastAsia="Calibri"/>
          <w:lang w:eastAsia="ar-SA"/>
        </w:rPr>
        <w:t xml:space="preserve"> </w:t>
      </w:r>
      <w:r>
        <w:rPr>
          <w:rFonts w:eastAsia="Calibri"/>
          <w:lang w:eastAsia="ar-SA"/>
        </w:rPr>
        <w:t>п.                                                                                                                       м.</w:t>
      </w:r>
      <w:r w:rsidR="002D0850">
        <w:rPr>
          <w:rFonts w:eastAsia="Calibri"/>
          <w:lang w:eastAsia="ar-SA"/>
        </w:rPr>
        <w:t xml:space="preserve"> </w:t>
      </w:r>
      <w:bookmarkStart w:id="0" w:name="_GoBack"/>
      <w:bookmarkEnd w:id="0"/>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885" w:rsidRDefault="00AB2885">
      <w:pPr>
        <w:spacing w:after="0" w:line="240" w:lineRule="auto"/>
      </w:pPr>
      <w:r>
        <w:separator/>
      </w:r>
    </w:p>
  </w:endnote>
  <w:endnote w:type="continuationSeparator" w:id="0">
    <w:p w:rsidR="00AB2885" w:rsidRDefault="00AB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Default="001E4E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E4EE4" w:rsidRPr="00F320A5" w:rsidRDefault="001E4EE4" w:rsidP="00E00564">
    <w:pPr>
      <w:pStyle w:val="af2"/>
      <w:ind w:right="360" w:firstLine="360"/>
      <w:jc w:val="center"/>
      <w:rPr>
        <w:sz w:val="18"/>
        <w:szCs w:val="18"/>
      </w:rPr>
    </w:pPr>
  </w:p>
  <w:p w:rsidR="001E4EE4" w:rsidRDefault="001E4EE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Default="001E4E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E4EE4" w:rsidRDefault="001E4EE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Default="001E4EE4" w:rsidP="00E00564">
    <w:pPr>
      <w:pStyle w:val="af2"/>
      <w:framePr w:wrap="around" w:vAnchor="text" w:hAnchor="margin" w:xAlign="right" w:y="1"/>
      <w:rPr>
        <w:rStyle w:val="af1"/>
      </w:rPr>
    </w:pPr>
  </w:p>
  <w:p w:rsidR="001E4EE4" w:rsidRDefault="001E4EE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885" w:rsidRDefault="00AB2885">
      <w:pPr>
        <w:spacing w:after="0" w:line="240" w:lineRule="auto"/>
      </w:pPr>
      <w:r>
        <w:separator/>
      </w:r>
    </w:p>
  </w:footnote>
  <w:footnote w:type="continuationSeparator" w:id="0">
    <w:p w:rsidR="00AB2885" w:rsidRDefault="00AB2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Pr="000B39A5" w:rsidRDefault="001E4EE4">
    <w:pPr>
      <w:pStyle w:val="af"/>
      <w:jc w:val="center"/>
      <w:rPr>
        <w:sz w:val="18"/>
        <w:szCs w:val="18"/>
      </w:rPr>
    </w:pPr>
  </w:p>
  <w:p w:rsidR="001E4EE4" w:rsidRDefault="001E4EE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Pr="000B39A5" w:rsidRDefault="001E4EE4">
    <w:pPr>
      <w:pStyle w:val="af"/>
      <w:jc w:val="center"/>
      <w:rPr>
        <w:sz w:val="18"/>
        <w:szCs w:val="18"/>
      </w:rPr>
    </w:pPr>
  </w:p>
  <w:p w:rsidR="001E4EE4" w:rsidRDefault="001E4EE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3D76"/>
    <w:rsid w:val="00054C9D"/>
    <w:rsid w:val="0005531A"/>
    <w:rsid w:val="00056C78"/>
    <w:rsid w:val="000575D5"/>
    <w:rsid w:val="00057603"/>
    <w:rsid w:val="000602E5"/>
    <w:rsid w:val="00063612"/>
    <w:rsid w:val="00070843"/>
    <w:rsid w:val="000724A4"/>
    <w:rsid w:val="00072584"/>
    <w:rsid w:val="00072C96"/>
    <w:rsid w:val="00074F4A"/>
    <w:rsid w:val="00075015"/>
    <w:rsid w:val="0007568D"/>
    <w:rsid w:val="000826E8"/>
    <w:rsid w:val="00083D57"/>
    <w:rsid w:val="000850DC"/>
    <w:rsid w:val="00090601"/>
    <w:rsid w:val="00091016"/>
    <w:rsid w:val="00091877"/>
    <w:rsid w:val="00096201"/>
    <w:rsid w:val="00096257"/>
    <w:rsid w:val="000976B6"/>
    <w:rsid w:val="000A1E3B"/>
    <w:rsid w:val="000B01AB"/>
    <w:rsid w:val="000B05E1"/>
    <w:rsid w:val="000B0C42"/>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4C51"/>
    <w:rsid w:val="00117947"/>
    <w:rsid w:val="00117FBC"/>
    <w:rsid w:val="001203F3"/>
    <w:rsid w:val="00123FE4"/>
    <w:rsid w:val="001249EE"/>
    <w:rsid w:val="00130E76"/>
    <w:rsid w:val="00132AB9"/>
    <w:rsid w:val="00132C8B"/>
    <w:rsid w:val="00133B22"/>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4EE4"/>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3C0"/>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850"/>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3344"/>
    <w:rsid w:val="0037445B"/>
    <w:rsid w:val="00374F49"/>
    <w:rsid w:val="00375F11"/>
    <w:rsid w:val="00376BC0"/>
    <w:rsid w:val="003800E4"/>
    <w:rsid w:val="0038157D"/>
    <w:rsid w:val="003853AC"/>
    <w:rsid w:val="00386355"/>
    <w:rsid w:val="00391AD9"/>
    <w:rsid w:val="003939E8"/>
    <w:rsid w:val="003971F6"/>
    <w:rsid w:val="0039738F"/>
    <w:rsid w:val="003A273C"/>
    <w:rsid w:val="003B6709"/>
    <w:rsid w:val="003B7395"/>
    <w:rsid w:val="003C0BC2"/>
    <w:rsid w:val="003C14BF"/>
    <w:rsid w:val="003C512F"/>
    <w:rsid w:val="003D4352"/>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350B"/>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B5990"/>
    <w:rsid w:val="004B7F84"/>
    <w:rsid w:val="004C0BD9"/>
    <w:rsid w:val="004D4130"/>
    <w:rsid w:val="004D5042"/>
    <w:rsid w:val="004E0F76"/>
    <w:rsid w:val="004E1A2E"/>
    <w:rsid w:val="004E24E3"/>
    <w:rsid w:val="004E4E03"/>
    <w:rsid w:val="004F1081"/>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0A93"/>
    <w:rsid w:val="00581297"/>
    <w:rsid w:val="005816CC"/>
    <w:rsid w:val="0058782A"/>
    <w:rsid w:val="005912DD"/>
    <w:rsid w:val="005914F8"/>
    <w:rsid w:val="00595809"/>
    <w:rsid w:val="0059736C"/>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49D8"/>
    <w:rsid w:val="00656844"/>
    <w:rsid w:val="00656C03"/>
    <w:rsid w:val="00660683"/>
    <w:rsid w:val="00661136"/>
    <w:rsid w:val="00661594"/>
    <w:rsid w:val="0066245D"/>
    <w:rsid w:val="00663DDC"/>
    <w:rsid w:val="006717F3"/>
    <w:rsid w:val="00673818"/>
    <w:rsid w:val="00673FA7"/>
    <w:rsid w:val="0067603E"/>
    <w:rsid w:val="0067714D"/>
    <w:rsid w:val="00682318"/>
    <w:rsid w:val="0069124E"/>
    <w:rsid w:val="00694718"/>
    <w:rsid w:val="006951F2"/>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03AE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54469"/>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C7034"/>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09F6"/>
    <w:rsid w:val="00A61251"/>
    <w:rsid w:val="00A62CAA"/>
    <w:rsid w:val="00A6389E"/>
    <w:rsid w:val="00A63E1A"/>
    <w:rsid w:val="00A64F4B"/>
    <w:rsid w:val="00A6583C"/>
    <w:rsid w:val="00A70EC7"/>
    <w:rsid w:val="00A77B3B"/>
    <w:rsid w:val="00A811F2"/>
    <w:rsid w:val="00A92AF3"/>
    <w:rsid w:val="00A92B56"/>
    <w:rsid w:val="00A92F53"/>
    <w:rsid w:val="00A93A52"/>
    <w:rsid w:val="00A94462"/>
    <w:rsid w:val="00AA0764"/>
    <w:rsid w:val="00AA5E86"/>
    <w:rsid w:val="00AA767A"/>
    <w:rsid w:val="00AA7D0A"/>
    <w:rsid w:val="00AB163B"/>
    <w:rsid w:val="00AB22D6"/>
    <w:rsid w:val="00AB2885"/>
    <w:rsid w:val="00AB30D8"/>
    <w:rsid w:val="00AC04DE"/>
    <w:rsid w:val="00AC072D"/>
    <w:rsid w:val="00AC07EB"/>
    <w:rsid w:val="00AC0AC5"/>
    <w:rsid w:val="00AC1662"/>
    <w:rsid w:val="00AC28E4"/>
    <w:rsid w:val="00AC51D0"/>
    <w:rsid w:val="00AC5F3D"/>
    <w:rsid w:val="00AD0EAF"/>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14F"/>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024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09AB"/>
    <w:rsid w:val="00CC2AAF"/>
    <w:rsid w:val="00CC2E34"/>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E734F"/>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27E0"/>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3132"/>
    <w:rsid w:val="00EC46F8"/>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487F"/>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1C90"/>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B47BA-2532-4D7C-9E27-62D8FD15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12271</Words>
  <Characters>69951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12</cp:revision>
  <cp:lastPrinted>2016-07-04T13:47:00Z</cp:lastPrinted>
  <dcterms:created xsi:type="dcterms:W3CDTF">2016-03-03T06:59:00Z</dcterms:created>
  <dcterms:modified xsi:type="dcterms:W3CDTF">2016-08-09T09:36:00Z</dcterms:modified>
</cp:coreProperties>
</file>