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 xml:space="preserve">: </w:t>
      </w:r>
    </w:p>
    <w:p w:rsidR="005F577D" w:rsidRPr="00FA67C6" w:rsidRDefault="005F577D" w:rsidP="005F577D">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МУРМАНСКАЯ ОБЛАСТЬ, г. ПОЛЯРНЫЕ ЗОРИ, пр. НИВСКИЙ, д. 8</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5F577D">
        <w:rPr>
          <w:rFonts w:eastAsia="Calibri"/>
          <w:lang w:eastAsia="ar-SA"/>
        </w:rPr>
        <w:t>Полярные Зори</w:t>
      </w:r>
      <w:r w:rsidR="00D94453">
        <w:rPr>
          <w:rFonts w:eastAsia="Calibri"/>
          <w:lang w:eastAsia="ar-SA"/>
        </w:rPr>
        <w:t xml:space="preserve">, </w:t>
      </w:r>
      <w:r w:rsidR="005F577D">
        <w:rPr>
          <w:rFonts w:eastAsia="Calibri"/>
          <w:lang w:eastAsia="ar-SA"/>
        </w:rPr>
        <w:t>пр</w:t>
      </w:r>
      <w:r w:rsidR="00D94453">
        <w:rPr>
          <w:rFonts w:eastAsia="Calibri"/>
          <w:lang w:eastAsia="ar-SA"/>
        </w:rPr>
        <w:t xml:space="preserve">. </w:t>
      </w:r>
      <w:r w:rsidR="005F577D">
        <w:rPr>
          <w:rFonts w:eastAsia="Calibri"/>
          <w:lang w:eastAsia="ar-SA"/>
        </w:rPr>
        <w:t>Нивский</w:t>
      </w:r>
      <w:r w:rsidR="00D94453">
        <w:rPr>
          <w:rFonts w:eastAsia="Calibri"/>
          <w:lang w:eastAsia="ar-SA"/>
        </w:rPr>
        <w:t>, д.</w:t>
      </w:r>
      <w:r w:rsidR="005F577D">
        <w:rPr>
          <w:rFonts w:eastAsia="Calibri"/>
          <w:lang w:eastAsia="ar-SA"/>
        </w:rPr>
        <w:t xml:space="preserve"> 8</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лота составляет </w:t>
      </w:r>
      <w:r w:rsidR="005F577D">
        <w:rPr>
          <w:rFonts w:eastAsia="Calibri"/>
          <w:lang w:eastAsia="ar-SA"/>
        </w:rPr>
        <w:t>4 601 952</w:t>
      </w:r>
      <w:r w:rsidR="005F577D" w:rsidRPr="00FA67C6">
        <w:rPr>
          <w:rFonts w:eastAsia="Calibri"/>
          <w:lang w:eastAsia="ar-SA"/>
        </w:rPr>
        <w:t xml:space="preserve"> (</w:t>
      </w:r>
      <w:r w:rsidR="005F577D">
        <w:rPr>
          <w:rFonts w:eastAsia="Calibri"/>
          <w:lang w:eastAsia="ar-SA"/>
        </w:rPr>
        <w:t>четыре миллиона шестьсот одна тысяча девятьсот пятьдесят два</w:t>
      </w:r>
      <w:r w:rsidR="005F577D" w:rsidRPr="00FA67C6">
        <w:rPr>
          <w:rFonts w:eastAsia="Calibri"/>
          <w:lang w:eastAsia="ar-SA"/>
        </w:rPr>
        <w:t>) рубл</w:t>
      </w:r>
      <w:r w:rsidR="005F577D">
        <w:rPr>
          <w:rFonts w:eastAsia="Calibri"/>
          <w:lang w:eastAsia="ar-SA"/>
        </w:rPr>
        <w:t>ей</w:t>
      </w:r>
      <w:r w:rsidR="005F577D" w:rsidRPr="00FA67C6">
        <w:rPr>
          <w:rFonts w:eastAsia="Calibri"/>
          <w:lang w:eastAsia="ar-SA"/>
        </w:rPr>
        <w:t xml:space="preserve"> </w:t>
      </w:r>
      <w:r w:rsidR="005F577D">
        <w:rPr>
          <w:rFonts w:eastAsia="Calibri"/>
          <w:lang w:eastAsia="ar-SA"/>
        </w:rPr>
        <w:t>69</w:t>
      </w:r>
      <w:r w:rsidR="005F577D" w:rsidRPr="00FA67C6">
        <w:rPr>
          <w:rFonts w:eastAsia="Calibri"/>
          <w:lang w:eastAsia="ar-SA"/>
        </w:rPr>
        <w:t xml:space="preserve"> копе</w:t>
      </w:r>
      <w:r w:rsidR="005F577D">
        <w:rPr>
          <w:rFonts w:eastAsia="Calibri"/>
          <w:lang w:eastAsia="ar-SA"/>
        </w:rPr>
        <w:t>ек.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F577D" w:rsidRDefault="00570EC0" w:rsidP="005F577D">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5F577D">
        <w:rPr>
          <w:rFonts w:eastAsia="Calibri"/>
          <w:lang w:eastAsia="ar-SA"/>
        </w:rPr>
        <w:t>4 601 952</w:t>
      </w:r>
      <w:r w:rsidR="005F577D" w:rsidRPr="00FA67C6">
        <w:rPr>
          <w:rFonts w:eastAsia="Calibri"/>
          <w:lang w:eastAsia="ar-SA"/>
        </w:rPr>
        <w:t xml:space="preserve"> (</w:t>
      </w:r>
      <w:r w:rsidR="005F577D">
        <w:rPr>
          <w:rFonts w:eastAsia="Calibri"/>
          <w:lang w:eastAsia="ar-SA"/>
        </w:rPr>
        <w:t>четыре миллиона шестьсот одна тысяча девятьсот пятьдесят два</w:t>
      </w:r>
      <w:r w:rsidR="005F577D" w:rsidRPr="00FA67C6">
        <w:rPr>
          <w:rFonts w:eastAsia="Calibri"/>
          <w:lang w:eastAsia="ar-SA"/>
        </w:rPr>
        <w:t>) рубл</w:t>
      </w:r>
      <w:r w:rsidR="005F577D">
        <w:rPr>
          <w:rFonts w:eastAsia="Calibri"/>
          <w:lang w:eastAsia="ar-SA"/>
        </w:rPr>
        <w:t>ей</w:t>
      </w:r>
      <w:r w:rsidR="005F577D" w:rsidRPr="00FA67C6">
        <w:rPr>
          <w:rFonts w:eastAsia="Calibri"/>
          <w:lang w:eastAsia="ar-SA"/>
        </w:rPr>
        <w:t xml:space="preserve"> </w:t>
      </w:r>
      <w:r w:rsidR="005F577D">
        <w:rPr>
          <w:rFonts w:eastAsia="Calibri"/>
          <w:lang w:eastAsia="ar-SA"/>
        </w:rPr>
        <w:t>69</w:t>
      </w:r>
      <w:r w:rsidR="005F577D" w:rsidRPr="00FA67C6">
        <w:rPr>
          <w:rFonts w:eastAsia="Calibri"/>
          <w:lang w:eastAsia="ar-SA"/>
        </w:rPr>
        <w:t xml:space="preserve"> копе</w:t>
      </w:r>
      <w:r w:rsidR="005F577D">
        <w:rPr>
          <w:rFonts w:eastAsia="Calibri"/>
          <w:lang w:eastAsia="ar-SA"/>
        </w:rPr>
        <w:t>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w:t>
      </w:r>
      <w:bookmarkStart w:id="0" w:name="_GoBack"/>
      <w:r w:rsidR="000E381A" w:rsidRPr="000E381A">
        <w:rPr>
          <w:rFonts w:eastAsia="Times New Roman"/>
          <w:lang w:eastAsia="ru-RU"/>
        </w:rPr>
        <w:t>инж</w:t>
      </w:r>
      <w:bookmarkEnd w:id="0"/>
      <w:r w:rsidR="000E381A" w:rsidRPr="000E381A">
        <w:rPr>
          <w:rFonts w:eastAsia="Times New Roman"/>
          <w:lang w:eastAsia="ru-RU"/>
        </w:rPr>
        <w:t>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5F577D">
        <w:rPr>
          <w:rFonts w:eastAsia="Calibri"/>
          <w:lang w:eastAsia="ar-SA"/>
        </w:rPr>
        <w:t>29</w:t>
      </w:r>
      <w:r>
        <w:rPr>
          <w:rFonts w:eastAsia="Calibri"/>
          <w:lang w:eastAsia="ar-SA"/>
        </w:rPr>
        <w:t>.</w:t>
      </w:r>
      <w:r w:rsidRPr="00FA2868">
        <w:rPr>
          <w:rFonts w:eastAsia="Calibri"/>
          <w:lang w:eastAsia="ar-SA"/>
        </w:rPr>
        <w:t>09.2015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5F577D">
        <w:rPr>
          <w:rFonts w:eastAsia="Calibri"/>
          <w:lang w:eastAsia="ar-SA"/>
        </w:rPr>
        <w:t>12</w:t>
      </w:r>
      <w:r w:rsidRPr="00FA2868">
        <w:rPr>
          <w:rFonts w:eastAsia="Calibri"/>
          <w:lang w:eastAsia="ar-SA"/>
        </w:rPr>
        <w:t>.</w:t>
      </w:r>
      <w:r w:rsidR="005F577D">
        <w:rPr>
          <w:rFonts w:eastAsia="Calibri"/>
          <w:lang w:eastAsia="ar-SA"/>
        </w:rPr>
        <w:t>10</w:t>
      </w:r>
      <w:r w:rsidRPr="00FA2868">
        <w:rPr>
          <w:rFonts w:eastAsia="Calibri"/>
          <w:lang w:eastAsia="ar-SA"/>
        </w:rPr>
        <w:t>.2015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Pr="00B40BC4" w:rsidRDefault="005F577D" w:rsidP="005F577D">
      <w:pPr>
        <w:suppressAutoHyphens/>
        <w:spacing w:after="0" w:line="240" w:lineRule="auto"/>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крыши, многоквартирного дома, расположенного по адресу: Мурманская область, </w:t>
      </w:r>
      <w:r w:rsidRPr="00DA3008">
        <w:rPr>
          <w:rFonts w:eastAsia="Calibri"/>
          <w:b/>
          <w:lang w:eastAsia="ar-SA"/>
        </w:rPr>
        <w:t xml:space="preserve">г. </w:t>
      </w:r>
      <w:r w:rsidRPr="00DA3008">
        <w:rPr>
          <w:b/>
        </w:rPr>
        <w:t>Полярные Зори, пр. Нивский, д. 8</w:t>
      </w:r>
      <w:r w:rsidRPr="00B40BC4">
        <w:rPr>
          <w:b/>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5F577D" w:rsidRPr="00A81227" w:rsidRDefault="005F577D" w:rsidP="005F577D">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11.1. Комиссионный отбор подрядной организации проводиться по адресу: 184381, Мурманская область, г. Полярные Зори, ул. Промышленная, д.1, в 1</w:t>
      </w:r>
      <w:r>
        <w:rPr>
          <w:rFonts w:eastAsia="Calibri"/>
          <w:lang w:eastAsia="ar-SA"/>
        </w:rPr>
        <w:t>1</w:t>
      </w:r>
      <w:r w:rsidRPr="00A81227">
        <w:rPr>
          <w:rFonts w:eastAsia="Calibri"/>
          <w:lang w:eastAsia="ar-SA"/>
        </w:rPr>
        <w:t>:00.</w:t>
      </w:r>
    </w:p>
    <w:p w:rsidR="005F577D" w:rsidRPr="00A81227" w:rsidRDefault="005F577D" w:rsidP="005F577D">
      <w:pPr>
        <w:tabs>
          <w:tab w:val="left" w:pos="851"/>
        </w:tabs>
        <w:suppressAutoHyphens/>
        <w:autoSpaceDE w:val="0"/>
        <w:autoSpaceDN w:val="0"/>
        <w:adjustRightInd w:val="0"/>
        <w:spacing w:after="0" w:line="240" w:lineRule="auto"/>
        <w:jc w:val="both"/>
        <w:rPr>
          <w:rFonts w:eastAsia="Calibri"/>
          <w:lang w:eastAsia="ar-SA"/>
        </w:rPr>
      </w:pPr>
      <w:r w:rsidRPr="00A81227">
        <w:t xml:space="preserve">            11.</w:t>
      </w:r>
      <w:r w:rsidRPr="00A81227">
        <w:rPr>
          <w:rFonts w:eastAsia="Calibri"/>
          <w:lang w:eastAsia="ar-SA"/>
        </w:rPr>
        <w:t xml:space="preserve">2. Дата проведения комиссионного отбора – </w:t>
      </w:r>
      <w:r>
        <w:rPr>
          <w:rFonts w:eastAsia="Calibri"/>
          <w:lang w:eastAsia="ar-SA"/>
        </w:rPr>
        <w:t>13</w:t>
      </w:r>
      <w:r w:rsidRPr="00A81227">
        <w:rPr>
          <w:rFonts w:eastAsia="Calibri"/>
          <w:lang w:eastAsia="ar-SA"/>
        </w:rPr>
        <w:t>.</w:t>
      </w:r>
      <w:r>
        <w:rPr>
          <w:rFonts w:eastAsia="Calibri"/>
          <w:lang w:eastAsia="ar-SA"/>
        </w:rPr>
        <w:t>10</w:t>
      </w:r>
      <w:r w:rsidRPr="00A81227">
        <w:rPr>
          <w:rFonts w:eastAsia="Calibri"/>
          <w:lang w:eastAsia="ar-SA"/>
        </w:rPr>
        <w:t>.2015 года.</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Мурманская область, г. </w:t>
      </w:r>
      <w:r w:rsidR="005F577D">
        <w:t>Полярные Зори, пр. Нивский, д. 8»</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lastRenderedPageBreak/>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многоквартирного дома, расположенного по адресу: Мурманская область, </w:t>
      </w:r>
      <w:r w:rsidRPr="00DA3008">
        <w:rPr>
          <w:rFonts w:eastAsia="Calibri"/>
          <w:b/>
          <w:lang w:eastAsia="ar-SA"/>
        </w:rPr>
        <w:t xml:space="preserve">г. </w:t>
      </w:r>
      <w:r w:rsidRPr="00DA3008">
        <w:rPr>
          <w:b/>
        </w:rPr>
        <w:t>Полярные Зори, пр. Нивский, д. 8</w:t>
      </w:r>
      <w:r w:rsidRPr="00B40BC4">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lastRenderedPageBreak/>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5F577D" w:rsidRDefault="005F577D" w:rsidP="00465E6D">
      <w:pPr>
        <w:pStyle w:val="afffff4"/>
        <w:ind w:firstLine="851"/>
        <w:jc w:val="right"/>
        <w:rPr>
          <w:i/>
          <w:lang w:eastAsia="en-US"/>
        </w:rPr>
      </w:pPr>
    </w:p>
    <w:p w:rsidR="00761199" w:rsidRDefault="00465E6D" w:rsidP="00465E6D">
      <w:pPr>
        <w:pStyle w:val="afffff4"/>
        <w:ind w:firstLine="851"/>
        <w:jc w:val="right"/>
        <w:rPr>
          <w:b/>
          <w:sz w:val="28"/>
          <w:szCs w:val="28"/>
        </w:rPr>
      </w:pP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5F577D"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Мурманская область, г. </w:t>
      </w:r>
      <w:r w:rsidR="005F577D" w:rsidRPr="005F577D">
        <w:rPr>
          <w:b/>
        </w:rPr>
        <w:t xml:space="preserve">Полярные Зори, пр. Нивский, д. 8». </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5F577D" w:rsidRDefault="00981640" w:rsidP="00E06E62">
      <w:pPr>
        <w:pStyle w:val="afffff4"/>
        <w:jc w:val="both"/>
        <w:rPr>
          <w:sz w:val="36"/>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5F577D" w:rsidRPr="005F577D">
        <w:rPr>
          <w:b/>
          <w:sz w:val="28"/>
        </w:rPr>
        <w:t xml:space="preserve"> </w:t>
      </w:r>
      <w:r w:rsidR="005F577D" w:rsidRPr="005F577D">
        <w:rPr>
          <w:sz w:val="28"/>
        </w:rPr>
        <w:t>многоквартирного дома, расположенного по адресу: Мурманская область, г. Полярные Зори, пр. Нивский, д. 8</w:t>
      </w:r>
      <w:proofErr w:type="gramStart"/>
      <w:r w:rsidR="005F577D" w:rsidRPr="005F577D">
        <w:rPr>
          <w:sz w:val="28"/>
        </w:rPr>
        <w:t>»</w:t>
      </w:r>
      <w:r w:rsidR="005F577D" w:rsidRPr="005F577D">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CA31F7">
        <w:rPr>
          <w:rFonts w:eastAsia="Times New Roman"/>
          <w:b/>
          <w:lang w:eastAsia="ru-RU"/>
        </w:rPr>
        <w:t>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5F577D">
        <w:rPr>
          <w:rFonts w:eastAsia="Times New Roman"/>
          <w:b/>
          <w:lang w:eastAsia="ru-RU"/>
        </w:rPr>
        <w:t>Полярные Зори</w:t>
      </w:r>
      <w:r w:rsidR="006001C1">
        <w:rPr>
          <w:rFonts w:eastAsia="Times New Roman"/>
          <w:b/>
          <w:lang w:eastAsia="ru-RU"/>
        </w:rPr>
        <w:t xml:space="preserve">, </w:t>
      </w:r>
      <w:r w:rsidR="005F577D">
        <w:rPr>
          <w:rFonts w:eastAsia="Times New Roman"/>
          <w:b/>
          <w:lang w:eastAsia="ru-RU"/>
        </w:rPr>
        <w:t>пр</w:t>
      </w:r>
      <w:r w:rsidR="006001C1">
        <w:rPr>
          <w:rFonts w:eastAsia="Times New Roman"/>
          <w:b/>
          <w:lang w:eastAsia="ru-RU"/>
        </w:rPr>
        <w:t xml:space="preserve">. </w:t>
      </w:r>
      <w:r w:rsidR="005F577D">
        <w:rPr>
          <w:rFonts w:eastAsia="Times New Roman"/>
          <w:b/>
          <w:lang w:eastAsia="ru-RU"/>
        </w:rPr>
        <w:t>Нивский</w:t>
      </w:r>
      <w:r w:rsidR="006001C1">
        <w:rPr>
          <w:rFonts w:eastAsia="Times New Roman"/>
          <w:b/>
          <w:lang w:eastAsia="ru-RU"/>
        </w:rPr>
        <w:t>, д.</w:t>
      </w:r>
      <w:r w:rsidR="00742851">
        <w:rPr>
          <w:rFonts w:eastAsia="Times New Roman"/>
          <w:b/>
          <w:lang w:eastAsia="ru-RU"/>
        </w:rPr>
        <w:t xml:space="preserve"> </w:t>
      </w:r>
      <w:r w:rsidR="005F577D">
        <w:rPr>
          <w:rFonts w:eastAsia="Times New Roman"/>
          <w:b/>
          <w:lang w:eastAsia="ru-RU"/>
        </w:rPr>
        <w:t>8</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w:t>
      </w:r>
      <w:r w:rsidR="00DF0C6D">
        <w:rPr>
          <w:rFonts w:eastAsia="Times New Roman"/>
          <w:lang w:eastAsia="ru-RU"/>
        </w:rPr>
        <w:t xml:space="preserve">крыши </w:t>
      </w:r>
      <w:r w:rsidR="00057988" w:rsidRPr="00057988">
        <w:rPr>
          <w:rFonts w:eastAsia="Times New Roman"/>
          <w:lang w:eastAsia="ru-RU"/>
        </w:rPr>
        <w:t xml:space="preserve">многоквартирного дома, расположенного по адресу </w:t>
      </w:r>
      <w:r w:rsidR="005F577D">
        <w:rPr>
          <w:rFonts w:eastAsia="Calibri"/>
          <w:lang w:eastAsia="ar-SA"/>
        </w:rPr>
        <w:t xml:space="preserve">Мурманская область, г. </w:t>
      </w:r>
      <w:r w:rsidR="005F577D">
        <w:t>Полярные Зори, пр. Нивский, д. 8</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lastRenderedPageBreak/>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w:t>
      </w:r>
      <w:r w:rsidRPr="0089492A">
        <w:rPr>
          <w:bCs/>
        </w:rPr>
        <w:lastRenderedPageBreak/>
        <w:t xml:space="preserve">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 xml:space="preserve">Обеспечить за свой счет сохранность материалов, оборудования, стоянки строительной техники и другого имущества, необходимого для производства работ, </w:t>
      </w:r>
      <w:r w:rsidRPr="0066245D">
        <w:rPr>
          <w:rFonts w:eastAsia="Times New Roman"/>
          <w:lang w:eastAsia="ru-RU"/>
        </w:rPr>
        <w:lastRenderedPageBreak/>
        <w:t>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w:t>
      </w:r>
      <w:r w:rsidRPr="00AA3C38">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w:t>
      </w:r>
      <w:r w:rsidRPr="00195FF9">
        <w:rPr>
          <w:rFonts w:eastAsia="Times New Roman"/>
          <w:lang w:eastAsia="ru-RU"/>
        </w:rPr>
        <w:lastRenderedPageBreak/>
        <w:t xml:space="preserve">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действующим законодательством Российской Федерации за ненадлежащее </w:t>
      </w:r>
      <w:r w:rsidRPr="0066245D">
        <w:rPr>
          <w:rFonts w:eastAsia="Times New Roman"/>
          <w:color w:val="000000"/>
          <w:lang w:eastAsia="ru-RU"/>
        </w:rPr>
        <w:lastRenderedPageBreak/>
        <w:t>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w:t>
      </w:r>
      <w:r w:rsidRPr="0066245D">
        <w:rPr>
          <w:rFonts w:eastAsia="Times New Roman"/>
          <w:color w:val="000000"/>
          <w:lang w:eastAsia="ru-RU"/>
        </w:rPr>
        <w:lastRenderedPageBreak/>
        <w:t>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lastRenderedPageBreak/>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6F" w:rsidRDefault="006D066F">
      <w:pPr>
        <w:spacing w:after="0" w:line="240" w:lineRule="auto"/>
      </w:pPr>
      <w:r>
        <w:separator/>
      </w:r>
    </w:p>
  </w:endnote>
  <w:endnote w:type="continuationSeparator" w:id="0">
    <w:p w:rsidR="006D066F" w:rsidRDefault="006D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D" w:rsidRDefault="005F57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577D" w:rsidRPr="00F320A5" w:rsidRDefault="005F577D" w:rsidP="00E00564">
    <w:pPr>
      <w:pStyle w:val="af2"/>
      <w:ind w:right="360" w:firstLine="360"/>
      <w:jc w:val="center"/>
      <w:rPr>
        <w:sz w:val="18"/>
        <w:szCs w:val="18"/>
      </w:rPr>
    </w:pPr>
  </w:p>
  <w:p w:rsidR="005F577D" w:rsidRDefault="005F577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D" w:rsidRDefault="005F57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577D" w:rsidRDefault="005F577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D" w:rsidRDefault="005F577D" w:rsidP="00E00564">
    <w:pPr>
      <w:pStyle w:val="af2"/>
      <w:framePr w:wrap="around" w:vAnchor="text" w:hAnchor="margin" w:xAlign="right" w:y="1"/>
      <w:rPr>
        <w:rStyle w:val="af1"/>
      </w:rPr>
    </w:pPr>
  </w:p>
  <w:p w:rsidR="005F577D" w:rsidRDefault="005F577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6F" w:rsidRDefault="006D066F">
      <w:pPr>
        <w:spacing w:after="0" w:line="240" w:lineRule="auto"/>
      </w:pPr>
      <w:r>
        <w:separator/>
      </w:r>
    </w:p>
  </w:footnote>
  <w:footnote w:type="continuationSeparator" w:id="0">
    <w:p w:rsidR="006D066F" w:rsidRDefault="006D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D" w:rsidRPr="000B39A5" w:rsidRDefault="005F577D">
    <w:pPr>
      <w:pStyle w:val="af"/>
      <w:jc w:val="center"/>
      <w:rPr>
        <w:sz w:val="18"/>
        <w:szCs w:val="18"/>
      </w:rPr>
    </w:pPr>
  </w:p>
  <w:p w:rsidR="005F577D" w:rsidRDefault="005F577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D" w:rsidRPr="000B39A5" w:rsidRDefault="005F577D">
    <w:pPr>
      <w:pStyle w:val="af"/>
      <w:jc w:val="center"/>
      <w:rPr>
        <w:sz w:val="18"/>
        <w:szCs w:val="18"/>
      </w:rPr>
    </w:pPr>
  </w:p>
  <w:p w:rsidR="005F577D" w:rsidRDefault="005F577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0DBF-37E9-4CAF-88A5-D98A8E3D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8957</Words>
  <Characters>51055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8</cp:revision>
  <cp:lastPrinted>2015-09-14T08:35:00Z</cp:lastPrinted>
  <dcterms:created xsi:type="dcterms:W3CDTF">2015-09-15T07:11:00Z</dcterms:created>
  <dcterms:modified xsi:type="dcterms:W3CDTF">2015-09-28T09:25:00Z</dcterms:modified>
</cp:coreProperties>
</file>