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3C391E" w:rsidP="0017465E">
            <w:pPr>
              <w:suppressAutoHyphens/>
              <w:spacing w:after="0" w:line="240" w:lineRule="auto"/>
              <w:rPr>
                <w:rFonts w:eastAsia="Calibri"/>
                <w:sz w:val="24"/>
                <w:szCs w:val="24"/>
                <w:lang w:eastAsia="ar-SA"/>
              </w:rPr>
            </w:pPr>
            <w:r>
              <w:rPr>
                <w:rFonts w:eastAsia="Calibri"/>
                <w:sz w:val="24"/>
                <w:szCs w:val="24"/>
                <w:lang w:eastAsia="ar-SA"/>
              </w:rPr>
              <w:t>«05</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7B2030" w:rsidRDefault="007B2030" w:rsidP="007B2030">
      <w:pPr>
        <w:numPr>
          <w:ilvl w:val="0"/>
          <w:numId w:val="29"/>
        </w:numPr>
        <w:suppressAutoHyphens/>
        <w:autoSpaceDE w:val="0"/>
        <w:autoSpaceDN w:val="0"/>
        <w:adjustRightInd w:val="0"/>
        <w:spacing w:after="0" w:line="240" w:lineRule="auto"/>
        <w:ind w:firstLine="708"/>
        <w:jc w:val="center"/>
        <w:rPr>
          <w:rFonts w:eastAsia="Calibri"/>
          <w:b/>
          <w:lang w:eastAsia="ar-SA"/>
        </w:rPr>
      </w:pPr>
      <w:r>
        <w:rPr>
          <w:rFonts w:eastAsia="Calibri"/>
          <w:b/>
          <w:bCs/>
          <w:kern w:val="32"/>
          <w:lang w:eastAsia="ru-RU"/>
        </w:rPr>
        <w:t>ДОКУМЕНТАЦИЯ</w:t>
      </w:r>
    </w:p>
    <w:p w:rsidR="007B2030" w:rsidRDefault="007B2030" w:rsidP="007B2030">
      <w:pPr>
        <w:suppressAutoHyphens/>
        <w:autoSpaceDE w:val="0"/>
        <w:autoSpaceDN w:val="0"/>
        <w:adjustRightInd w:val="0"/>
        <w:spacing w:after="0" w:line="240" w:lineRule="auto"/>
        <w:ind w:left="708"/>
        <w:jc w:val="center"/>
        <w:rPr>
          <w:rFonts w:eastAsia="Calibri"/>
          <w:b/>
          <w:lang w:eastAsia="ar-SA"/>
        </w:rPr>
      </w:pPr>
      <w:r>
        <w:rPr>
          <w:rFonts w:eastAsia="Calibri"/>
          <w:b/>
          <w:bCs/>
          <w:kern w:val="32"/>
          <w:lang w:eastAsia="ru-RU"/>
        </w:rPr>
        <w:t xml:space="preserve">ПО КОМИССИОННОМУ ОТБОРУ ПОДРЯДНОЙ ОРГАНИЗАЦИИ </w:t>
      </w:r>
      <w:r>
        <w:rPr>
          <w:rFonts w:eastAsia="Calibri"/>
          <w:b/>
          <w:lang w:eastAsia="ar-SA"/>
        </w:rPr>
        <w:t>НА ПРАВО ЗАКЛЮЧЕНИЯ ДОГОВОРА НА ВЫПОЛНЕНИЕ РАБОТ ПО ЛОТУ:</w:t>
      </w:r>
    </w:p>
    <w:p w:rsidR="007B2030" w:rsidRDefault="007B2030" w:rsidP="007B2030">
      <w:pPr>
        <w:suppressAutoHyphens/>
        <w:autoSpaceDE w:val="0"/>
        <w:autoSpaceDN w:val="0"/>
        <w:adjustRightInd w:val="0"/>
        <w:spacing w:after="0" w:line="240" w:lineRule="auto"/>
        <w:ind w:left="708"/>
        <w:jc w:val="center"/>
        <w:rPr>
          <w:rFonts w:eastAsia="Calibri"/>
          <w:b/>
          <w:lang w:eastAsia="ar-SA"/>
        </w:rPr>
      </w:pPr>
      <w:r>
        <w:rPr>
          <w:rFonts w:eastAsia="Calibri"/>
          <w:b/>
          <w:lang w:eastAsia="ar-SA"/>
        </w:rPr>
        <w:t>«КАПИТАЛЬНЫЙ РЕМОНТ ИНЖЕНЕРНЫХ СИСТЕМ И КРЫШИ МНОГОКВАРТИРНОГО ДОМА, РАСПОЛОЖЕННОГО ПО АДРЕСУ: МУРМАНСКАЯ ОБЛАС</w:t>
      </w:r>
      <w:r w:rsidR="00C42BF9">
        <w:rPr>
          <w:rFonts w:eastAsia="Calibri"/>
          <w:b/>
          <w:lang w:eastAsia="ar-SA"/>
        </w:rPr>
        <w:t>ТЬ, г. АПАТИТЫ, ул. ЛЕНИНА, д. 12</w:t>
      </w:r>
      <w:r>
        <w:rPr>
          <w:rFonts w:eastAsia="Calibri"/>
          <w:b/>
          <w:lang w:eastAsia="ar-SA"/>
        </w:rPr>
        <w:t>»</w:t>
      </w:r>
    </w:p>
    <w:p w:rsidR="007B2030" w:rsidRDefault="007B2030" w:rsidP="007B2030">
      <w:pPr>
        <w:autoSpaceDE w:val="0"/>
        <w:autoSpaceDN w:val="0"/>
        <w:adjustRightInd w:val="0"/>
        <w:spacing w:after="0" w:line="240" w:lineRule="auto"/>
        <w:jc w:val="center"/>
        <w:rPr>
          <w:rFonts w:eastAsia="Calibri"/>
          <w:b/>
          <w:bCs/>
          <w:kern w:val="32"/>
          <w:lang w:eastAsia="ru-RU"/>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CB4EDB">
      <w:pPr>
        <w:widowControl w:val="0"/>
        <w:suppressAutoHyphens/>
        <w:spacing w:after="0" w:line="240" w:lineRule="auto"/>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CB4EDB">
      <w:pPr>
        <w:widowControl w:val="0"/>
        <w:suppressAutoHyphens/>
        <w:spacing w:after="0" w:line="240" w:lineRule="auto"/>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Default="00EE6F6B" w:rsidP="00EE6F6B">
      <w:pPr>
        <w:keepNext/>
        <w:spacing w:after="0" w:line="240" w:lineRule="auto"/>
        <w:ind w:left="432" w:hanging="432"/>
        <w:jc w:val="center"/>
        <w:outlineLvl w:val="0"/>
        <w:rPr>
          <w:rFonts w:eastAsia="Calibri"/>
          <w:b/>
          <w:kern w:val="28"/>
          <w:lang w:eastAsia="ru-RU"/>
        </w:rPr>
      </w:pPr>
    </w:p>
    <w:p w:rsidR="00D43AD1" w:rsidRPr="00694718" w:rsidRDefault="00D43AD1" w:rsidP="00D43AD1">
      <w:pPr>
        <w:keepNext/>
        <w:spacing w:after="0" w:line="240" w:lineRule="auto"/>
        <w:ind w:hanging="432"/>
        <w:jc w:val="center"/>
        <w:outlineLvl w:val="0"/>
        <w:rPr>
          <w:rFonts w:eastAsia="Calibri"/>
          <w:b/>
          <w:kern w:val="28"/>
          <w:lang w:eastAsia="ru-RU"/>
        </w:rPr>
        <w:sectPr w:rsidR="00D43AD1"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лоту: «Капитальный ремонт </w:t>
      </w:r>
      <w:r w:rsidR="00CB4EDB">
        <w:rPr>
          <w:rFonts w:eastAsia="Calibri"/>
          <w:lang w:eastAsia="ar-SA"/>
        </w:rPr>
        <w:t>инженерных систем и</w:t>
      </w:r>
      <w:r w:rsidR="003A5C80">
        <w:rPr>
          <w:rFonts w:eastAsia="Calibri"/>
          <w:lang w:eastAsia="ar-SA"/>
        </w:rPr>
        <w:t xml:space="preserve"> </w:t>
      </w:r>
      <w:r w:rsidR="00CB4EDB">
        <w:rPr>
          <w:rFonts w:eastAsia="Calibri"/>
          <w:lang w:eastAsia="ar-SA"/>
        </w:rPr>
        <w:t>крыши</w:t>
      </w:r>
      <w:r w:rsidRPr="006C77E4">
        <w:rPr>
          <w:rFonts w:eastAsia="Calibri"/>
          <w:lang w:eastAsia="ar-SA"/>
        </w:rPr>
        <w:t xml:space="preserve"> многоквартирного </w:t>
      </w:r>
      <w:r w:rsidR="00CB4EDB">
        <w:rPr>
          <w:rFonts w:eastAsia="Calibri"/>
          <w:lang w:eastAsia="ar-SA"/>
        </w:rPr>
        <w:t xml:space="preserve">дома, расположенного по </w:t>
      </w:r>
      <w:proofErr w:type="spellStart"/>
      <w:proofErr w:type="gramStart"/>
      <w:r w:rsidR="00CB4EDB">
        <w:rPr>
          <w:rFonts w:eastAsia="Calibri"/>
          <w:lang w:eastAsia="ar-SA"/>
        </w:rPr>
        <w:t>адресу:Мурманская</w:t>
      </w:r>
      <w:proofErr w:type="spellEnd"/>
      <w:proofErr w:type="gramEnd"/>
      <w:r w:rsidRPr="006C77E4">
        <w:rPr>
          <w:rFonts w:eastAsia="Calibri"/>
          <w:lang w:eastAsia="ar-SA"/>
        </w:rPr>
        <w:t xml:space="preserve"> </w:t>
      </w:r>
      <w:proofErr w:type="spellStart"/>
      <w:r w:rsidRPr="006C77E4">
        <w:rPr>
          <w:rFonts w:eastAsia="Calibri"/>
          <w:lang w:eastAsia="ar-SA"/>
        </w:rPr>
        <w:t>об</w:t>
      </w:r>
      <w:r w:rsidR="00067499">
        <w:rPr>
          <w:rFonts w:eastAsia="Calibri"/>
          <w:lang w:eastAsia="ar-SA"/>
        </w:rPr>
        <w:t>л.г</w:t>
      </w:r>
      <w:proofErr w:type="spellEnd"/>
      <w:r w:rsidR="00067499">
        <w:rPr>
          <w:rFonts w:eastAsia="Calibri"/>
          <w:lang w:eastAsia="ar-SA"/>
        </w:rPr>
        <w:t xml:space="preserve">. Апатиты, </w:t>
      </w:r>
      <w:proofErr w:type="spellStart"/>
      <w:r w:rsidR="00FE22BD">
        <w:rPr>
          <w:rFonts w:eastAsia="Calibri"/>
          <w:lang w:eastAsia="ar-SA"/>
        </w:rPr>
        <w:t>ул.Ленина</w:t>
      </w:r>
      <w:proofErr w:type="spellEnd"/>
      <w:r w:rsidR="00CB4EDB">
        <w:rPr>
          <w:rFonts w:eastAsia="Calibri"/>
          <w:lang w:eastAsia="ar-SA"/>
        </w:rPr>
        <w:t xml:space="preserve"> д. </w:t>
      </w:r>
      <w:r w:rsidR="00067499">
        <w:rPr>
          <w:rFonts w:eastAsia="Calibri"/>
          <w:lang w:eastAsia="ar-SA"/>
        </w:rPr>
        <w:t>1</w:t>
      </w:r>
      <w:r w:rsidR="00CB4EDB">
        <w:rPr>
          <w:rFonts w:eastAsia="Calibri"/>
          <w:lang w:eastAsia="ar-SA"/>
        </w:rPr>
        <w:t>2</w:t>
      </w:r>
      <w:r w:rsidRPr="006C77E4">
        <w:t>».</w:t>
      </w:r>
    </w:p>
    <w:p w:rsidR="00FE22BD" w:rsidRPr="00FE22BD" w:rsidRDefault="006C77E4" w:rsidP="00FE22BD">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 </w:t>
      </w:r>
      <w:r w:rsidR="00FE22BD" w:rsidRPr="00FE22BD">
        <w:rPr>
          <w:rFonts w:eastAsia="Calibri"/>
          <w:lang w:eastAsia="ar-SA"/>
        </w:rPr>
        <w:t>3 560 098 (три миллиона пятьсот шестьдесят тысяч девяносто восемь) рублей.</w:t>
      </w:r>
    </w:p>
    <w:p w:rsidR="00FE22BD" w:rsidRPr="00FE22BD" w:rsidRDefault="00FE22BD" w:rsidP="00FE22BD">
      <w:pPr>
        <w:suppressAutoHyphens/>
        <w:spacing w:after="0" w:line="240" w:lineRule="auto"/>
        <w:jc w:val="both"/>
        <w:rPr>
          <w:rFonts w:eastAsia="Calibri"/>
          <w:lang w:eastAsia="ar-SA"/>
        </w:rPr>
      </w:pPr>
      <w:r w:rsidRPr="00FE22BD">
        <w:rPr>
          <w:rFonts w:eastAsia="Calibri"/>
          <w:lang w:eastAsia="ar-SA"/>
        </w:rPr>
        <w:t>- капитальный ремонт крыши – 2 895 714(два миллиона восемьсот девяносто пять тысяч семьсот четырнадцать) рублей.</w:t>
      </w:r>
    </w:p>
    <w:p w:rsidR="00FE22BD" w:rsidRPr="00FE22BD" w:rsidRDefault="00FE22BD" w:rsidP="00FE22BD">
      <w:pPr>
        <w:spacing w:after="0" w:line="240" w:lineRule="auto"/>
        <w:jc w:val="both"/>
        <w:rPr>
          <w:rFonts w:eastAsia="Calibri"/>
          <w:lang w:eastAsia="ar-SA"/>
        </w:rPr>
      </w:pPr>
      <w:r w:rsidRPr="00FE22BD">
        <w:rPr>
          <w:rFonts w:eastAsia="Calibri"/>
          <w:lang w:eastAsia="ar-SA"/>
        </w:rPr>
        <w:t xml:space="preserve">- капитальный ремонт инженерных систем–664 384(шестьсот шестьдесят четыре тысячи триста восемьдесят четыре) рубля. </w:t>
      </w:r>
    </w:p>
    <w:p w:rsidR="006C77E4" w:rsidRPr="00CB4EDB" w:rsidRDefault="00CB4EDB" w:rsidP="00FE22BD">
      <w:pPr>
        <w:suppressAutoHyphens/>
        <w:spacing w:after="0" w:line="240" w:lineRule="auto"/>
        <w:ind w:firstLine="708"/>
        <w:jc w:val="both"/>
        <w:rPr>
          <w:rFonts w:eastAsia="Calibri"/>
          <w:lang w:eastAsia="ar-SA"/>
        </w:rPr>
      </w:pPr>
      <w:r>
        <w:rPr>
          <w:rFonts w:eastAsia="Calibri"/>
          <w:b/>
          <w:bCs/>
          <w:lang w:eastAsia="ar-SA"/>
        </w:rPr>
        <w:t xml:space="preserve"> </w:t>
      </w:r>
      <w:r w:rsidR="006C77E4"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lastRenderedPageBreak/>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proofErr w:type="spellStart"/>
      <w:r w:rsidRPr="006C77E4">
        <w:rPr>
          <w:rFonts w:eastAsia="Calibri"/>
          <w:lang w:val="en-US" w:eastAsia="ar-SA"/>
        </w:rPr>
        <w:t>zm</w:t>
      </w:r>
      <w:proofErr w:type="spellEnd"/>
      <w:r w:rsidRPr="006C77E4">
        <w:rPr>
          <w:rFonts w:eastAsia="Calibri"/>
          <w:lang w:eastAsia="ar-SA"/>
        </w:rPr>
        <w:t>@</w:t>
      </w:r>
      <w:proofErr w:type="spellStart"/>
      <w:r w:rsidRPr="006C77E4">
        <w:rPr>
          <w:rFonts w:eastAsia="Calibri"/>
          <w:lang w:val="en-US" w:eastAsia="ar-SA"/>
        </w:rPr>
        <w:t>fkrmo</w:t>
      </w:r>
      <w:proofErr w:type="spellEnd"/>
      <w:r w:rsidRPr="006C77E4">
        <w:rPr>
          <w:rFonts w:eastAsia="Calibri"/>
          <w:lang w:eastAsia="ar-SA"/>
        </w:rPr>
        <w:t>.</w:t>
      </w:r>
      <w:proofErr w:type="spellStart"/>
      <w:r w:rsidRPr="006C77E4">
        <w:rPr>
          <w:rFonts w:eastAsia="Calibri"/>
          <w:lang w:val="en-US" w:eastAsia="ar-SA"/>
        </w:rPr>
        <w:t>ru</w:t>
      </w:r>
      <w:proofErr w:type="spellEnd"/>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 xml:space="preserve">6.1.4. Договоры подряда и акты о приемке выполненных работ </w:t>
      </w:r>
      <w:r w:rsidRPr="006C77E4">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lastRenderedPageBreak/>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начала подачи заявок: 05</w:t>
      </w:r>
      <w:r w:rsidR="006C77E4" w:rsidRPr="006C77E4">
        <w:rPr>
          <w:rFonts w:eastAsia="Calibri"/>
          <w:lang w:eastAsia="ar-SA"/>
        </w:rPr>
        <w:t>.05.2016 г.;</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окончания подачи заявок: 07</w:t>
      </w:r>
      <w:r w:rsidR="006C77E4" w:rsidRPr="006C77E4">
        <w:rPr>
          <w:rFonts w:eastAsia="Calibri"/>
          <w:lang w:eastAsia="ar-SA"/>
        </w:rPr>
        <w:t>.06.2016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лоту: «Капитальный ремонт</w:t>
      </w:r>
      <w:r w:rsidR="00BD685B">
        <w:rPr>
          <w:rFonts w:eastAsia="Calibri"/>
          <w:b/>
          <w:lang w:eastAsia="ar-SA"/>
        </w:rPr>
        <w:t xml:space="preserve"> инженерных систем и крыши</w:t>
      </w:r>
      <w:r w:rsidRPr="006C77E4">
        <w:rPr>
          <w:rFonts w:eastAsia="Calibri"/>
          <w:b/>
          <w:lang w:eastAsia="ar-SA"/>
        </w:rPr>
        <w:t xml:space="preserve"> многоквартирного дома, расположенного по адресу: Мурманская област</w:t>
      </w:r>
      <w:r w:rsidR="00D22646">
        <w:rPr>
          <w:rFonts w:eastAsia="Calibri"/>
          <w:b/>
          <w:lang w:eastAsia="ar-SA"/>
        </w:rPr>
        <w:t>ь, г. Апатиты, ул. Ленина</w:t>
      </w:r>
      <w:r w:rsidR="004C1243">
        <w:rPr>
          <w:rFonts w:eastAsia="Calibri"/>
          <w:b/>
          <w:lang w:eastAsia="ar-SA"/>
        </w:rPr>
        <w:t xml:space="preserve"> д. </w:t>
      </w:r>
      <w:r w:rsidR="00D22646">
        <w:rPr>
          <w:rFonts w:eastAsia="Calibri"/>
          <w:b/>
          <w:lang w:eastAsia="ar-SA"/>
        </w:rPr>
        <w:t>1</w:t>
      </w:r>
      <w:r w:rsidR="004C1243">
        <w:rPr>
          <w:rFonts w:eastAsia="Calibri"/>
          <w:b/>
          <w:lang w:eastAsia="ar-SA"/>
        </w:rPr>
        <w:t>2</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10.1. Комиссионный отбор подрядной организации проводиться по адресу</w:t>
      </w:r>
      <w:r w:rsidR="00BD685B">
        <w:rPr>
          <w:rFonts w:eastAsia="Calibri"/>
          <w:lang w:eastAsia="ar-SA"/>
        </w:rPr>
        <w:t xml:space="preserve">: Мурманская область, г. Апатиты, пл. Ленина, д.1, </w:t>
      </w:r>
      <w:proofErr w:type="spellStart"/>
      <w:r w:rsidR="00BD685B">
        <w:rPr>
          <w:rFonts w:eastAsia="Calibri"/>
          <w:lang w:eastAsia="ar-SA"/>
        </w:rPr>
        <w:t>каб</w:t>
      </w:r>
      <w:proofErr w:type="spellEnd"/>
      <w:r w:rsidR="00BD685B">
        <w:rPr>
          <w:rFonts w:eastAsia="Calibri"/>
          <w:lang w:eastAsia="ar-SA"/>
        </w:rPr>
        <w:t xml:space="preserve">. 314 </w:t>
      </w:r>
      <w:r w:rsidRPr="006C77E4">
        <w:rPr>
          <w:rFonts w:eastAsia="Calibri"/>
          <w:lang w:eastAsia="ar-SA"/>
        </w:rPr>
        <w:t>(зда</w:t>
      </w:r>
      <w:r w:rsidR="00BD685B">
        <w:rPr>
          <w:rFonts w:eastAsia="Calibri"/>
          <w:lang w:eastAsia="ar-SA"/>
        </w:rPr>
        <w:t>ние администрации города Апатиты</w:t>
      </w:r>
      <w:r w:rsidRPr="006C77E4">
        <w:rPr>
          <w:rFonts w:eastAsia="Calibri"/>
          <w:lang w:eastAsia="ar-SA"/>
        </w:rPr>
        <w:t>).</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w:t>
      </w:r>
      <w:r w:rsidR="00BD685B">
        <w:rPr>
          <w:rFonts w:eastAsia="Calibri"/>
          <w:color w:val="000000"/>
          <w:lang w:eastAsia="ar-SA"/>
        </w:rPr>
        <w:t>едения комиссионного отбора – 08</w:t>
      </w:r>
      <w:r w:rsidRPr="006C77E4">
        <w:rPr>
          <w:rFonts w:eastAsia="Calibri"/>
          <w:color w:val="000000"/>
          <w:lang w:eastAsia="ar-SA"/>
        </w:rPr>
        <w:t>.06.2016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C77E4">
        <w:rPr>
          <w:rFonts w:eastAsia="Times New Roman"/>
          <w:lang w:eastAsia="ru-RU"/>
        </w:rPr>
        <w:t>энерго</w:t>
      </w:r>
      <w:proofErr w:type="spellEnd"/>
      <w:r w:rsidRPr="006C77E4">
        <w:rPr>
          <w:rFonts w:eastAsia="Times New Roman"/>
          <w:lang w:eastAsia="ru-RU"/>
        </w:rPr>
        <w:t>-ресурсосберегающих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3A5C80">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3A5C80">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3A5C80">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3A5C80">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3A5C80">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3A5C80">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3A5C80">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3A5C80">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w:t>
      </w:r>
      <w:r w:rsidR="00BD685B">
        <w:rPr>
          <w:rFonts w:eastAsia="Calibri"/>
          <w:lang w:eastAsia="ar-SA"/>
        </w:rPr>
        <w:t xml:space="preserve"> инженерных систем и крыши </w:t>
      </w:r>
      <w:r w:rsidR="00BD685B"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2B1EFE">
        <w:rPr>
          <w:rFonts w:eastAsia="Calibri"/>
          <w:lang w:eastAsia="ar-SA"/>
        </w:rPr>
        <w:t>ь, г. Апатиты, ул. Ленина</w:t>
      </w:r>
      <w:r w:rsidR="00BD685B">
        <w:rPr>
          <w:rFonts w:eastAsia="Calibri"/>
          <w:lang w:eastAsia="ar-SA"/>
        </w:rPr>
        <w:t>, д.</w:t>
      </w:r>
      <w:r w:rsidR="002B1EFE">
        <w:rPr>
          <w:rFonts w:eastAsia="Calibri"/>
          <w:lang w:eastAsia="ar-SA"/>
        </w:rPr>
        <w:t>1</w:t>
      </w:r>
      <w:r w:rsidR="00BD685B">
        <w:rPr>
          <w:rFonts w:eastAsia="Calibri"/>
          <w:lang w:eastAsia="ar-SA"/>
        </w:rPr>
        <w:t>2</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lastRenderedPageBreak/>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НА УЧАСТИЕ В КОМИССИОННОМ ОТБОРЕ ПОДРЯДНОЙ ОРГАНИЗАЦИИ</w:t>
      </w:r>
    </w:p>
    <w:p w:rsidR="006C77E4" w:rsidRPr="003A5C80" w:rsidRDefault="006C77E4" w:rsidP="003A5C80">
      <w:pPr>
        <w:suppressAutoHyphens/>
        <w:spacing w:after="0" w:line="240" w:lineRule="auto"/>
        <w:ind w:firstLine="708"/>
        <w:jc w:val="both"/>
        <w:rPr>
          <w:rFonts w:eastAsia="Calibri"/>
          <w:lang w:eastAsia="ar-SA"/>
        </w:rPr>
      </w:pPr>
      <w:r w:rsidRPr="006C77E4">
        <w:rPr>
          <w:rFonts w:eastAsia="Times New Roman"/>
          <w:b/>
          <w:color w:val="000000"/>
          <w:lang w:eastAsia="ru-RU"/>
        </w:rPr>
        <w:t>на выполнение работ по лоту: «Капитальный ремонт</w:t>
      </w:r>
      <w:r w:rsidR="004A7F3C">
        <w:rPr>
          <w:rFonts w:eastAsia="Times New Roman"/>
          <w:b/>
          <w:color w:val="000000"/>
          <w:lang w:eastAsia="ru-RU"/>
        </w:rPr>
        <w:t xml:space="preserve"> инженерных систем и крыши</w:t>
      </w:r>
      <w:r w:rsidRPr="006C77E4">
        <w:rPr>
          <w:rFonts w:eastAsia="Times New Roman"/>
          <w:b/>
          <w:color w:val="000000"/>
          <w:lang w:eastAsia="ru-RU"/>
        </w:rPr>
        <w:t xml:space="preserve"> многоквартирного дома, расположенного по адресу: Мурманская област</w:t>
      </w:r>
      <w:r w:rsidR="004A7F3C">
        <w:rPr>
          <w:rFonts w:eastAsia="Times New Roman"/>
          <w:b/>
          <w:color w:val="000000"/>
          <w:lang w:eastAsia="ru-RU"/>
        </w:rPr>
        <w:t>ь, г. Апатиты</w:t>
      </w:r>
      <w:r w:rsidR="00821683">
        <w:rPr>
          <w:rFonts w:eastAsia="Times New Roman"/>
          <w:b/>
          <w:color w:val="000000"/>
          <w:lang w:eastAsia="ru-RU"/>
        </w:rPr>
        <w:t xml:space="preserve">, ул. </w:t>
      </w:r>
      <w:r w:rsidR="002B1EFE">
        <w:rPr>
          <w:rFonts w:eastAsia="Calibri"/>
          <w:b/>
          <w:lang w:eastAsia="ar-SA"/>
        </w:rPr>
        <w:t>Ленина</w:t>
      </w:r>
      <w:r w:rsidR="004A7F3C">
        <w:rPr>
          <w:rFonts w:eastAsia="Calibri"/>
          <w:b/>
          <w:lang w:eastAsia="ar-SA"/>
        </w:rPr>
        <w:t xml:space="preserve"> д. </w:t>
      </w:r>
      <w:r w:rsidR="002B1EFE">
        <w:rPr>
          <w:rFonts w:eastAsia="Calibri"/>
          <w:b/>
          <w:lang w:eastAsia="ar-SA"/>
        </w:rPr>
        <w:t>1</w:t>
      </w:r>
      <w:r w:rsidR="004A7F3C">
        <w:rPr>
          <w:rFonts w:eastAsia="Calibri"/>
          <w:b/>
          <w:lang w:eastAsia="ar-SA"/>
        </w:rPr>
        <w:t>2</w:t>
      </w:r>
      <w:r w:rsidR="003A5C80"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xml:space="preserve">, утвержденному приказом </w:t>
      </w:r>
      <w:proofErr w:type="spellStart"/>
      <w:r w:rsidRPr="006C77E4">
        <w:rPr>
          <w:rFonts w:eastAsia="Calibri"/>
          <w:lang w:eastAsia="ar-SA"/>
        </w:rPr>
        <w:t>Минрегиона</w:t>
      </w:r>
      <w:proofErr w:type="spellEnd"/>
      <w:r w:rsidRPr="006C77E4">
        <w:rPr>
          <w:rFonts w:eastAsia="Calibri"/>
          <w:lang w:eastAsia="ar-SA"/>
        </w:rPr>
        <w:t xml:space="preserve">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3A5C80">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3A5C80">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3A5C80">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3A5C80">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3A5C80">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Pr="006C77E4">
        <w:rPr>
          <w:rFonts w:eastAsia="Calibri"/>
          <w:b/>
          <w:lang w:eastAsia="ar-SA"/>
        </w:rPr>
        <w:t>«Капитальный ремонт</w:t>
      </w:r>
      <w:r w:rsidR="003A5C80">
        <w:rPr>
          <w:rFonts w:eastAsia="Calibri"/>
          <w:b/>
          <w:lang w:eastAsia="ar-SA"/>
        </w:rPr>
        <w:t xml:space="preserve"> инженер</w:t>
      </w:r>
      <w:r w:rsidR="004A7F3C">
        <w:rPr>
          <w:rFonts w:eastAsia="Calibri"/>
          <w:b/>
          <w:lang w:eastAsia="ar-SA"/>
        </w:rPr>
        <w:t>ных систем и крыши</w:t>
      </w:r>
      <w:r w:rsidRPr="006C77E4">
        <w:rPr>
          <w:rFonts w:eastAsia="Calibri"/>
          <w:b/>
          <w:lang w:eastAsia="ar-SA"/>
        </w:rPr>
        <w:t xml:space="preserve"> многоквартирного дома, расположенного по адресу: Мурманская облас</w:t>
      </w:r>
      <w:r w:rsidR="00821683">
        <w:rPr>
          <w:rFonts w:eastAsia="Calibri"/>
          <w:b/>
          <w:lang w:eastAsia="ar-SA"/>
        </w:rPr>
        <w:t>т</w:t>
      </w:r>
      <w:r w:rsidR="002B1EFE">
        <w:rPr>
          <w:rFonts w:eastAsia="Calibri"/>
          <w:b/>
          <w:lang w:eastAsia="ar-SA"/>
        </w:rPr>
        <w:t>ь, г. Апатиты, ул. Ленина</w:t>
      </w:r>
      <w:r w:rsidR="004A7F3C">
        <w:rPr>
          <w:rFonts w:eastAsia="Calibri"/>
          <w:b/>
          <w:lang w:eastAsia="ar-SA"/>
        </w:rPr>
        <w:t xml:space="preserve"> д. </w:t>
      </w:r>
      <w:r w:rsidR="002B1EFE">
        <w:rPr>
          <w:rFonts w:eastAsia="Calibri"/>
          <w:b/>
          <w:lang w:eastAsia="ar-SA"/>
        </w:rPr>
        <w:t>1</w:t>
      </w:r>
      <w:r w:rsidR="004A7F3C">
        <w:rPr>
          <w:rFonts w:eastAsia="Calibri"/>
          <w:b/>
          <w:lang w:eastAsia="ar-SA"/>
        </w:rPr>
        <w:t>2</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подтверждает, что для участия в комиссионном отборе подрядной организации на выполнение работ по лоту: Капитальный ремонт</w:t>
      </w:r>
      <w:r w:rsidR="004A7F3C">
        <w:rPr>
          <w:rFonts w:eastAsia="Calibri"/>
          <w:lang w:eastAsia="ar-SA"/>
        </w:rPr>
        <w:t xml:space="preserve"> инженерных систем и крыши </w:t>
      </w:r>
      <w:r w:rsidR="004A7F3C"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821683">
        <w:rPr>
          <w:rFonts w:eastAsia="Calibri"/>
          <w:lang w:eastAsia="ar-SA"/>
        </w:rPr>
        <w:t>ь</w:t>
      </w:r>
      <w:r w:rsidR="002B1EFE">
        <w:rPr>
          <w:rFonts w:eastAsia="Calibri"/>
          <w:lang w:eastAsia="ar-SA"/>
        </w:rPr>
        <w:t>, г. Апатиты, ул. Ленина</w:t>
      </w:r>
      <w:r w:rsidR="003A5C80">
        <w:rPr>
          <w:rFonts w:eastAsia="Calibri"/>
          <w:lang w:eastAsia="ar-SA"/>
        </w:rPr>
        <w:t xml:space="preserve"> д.</w:t>
      </w:r>
      <w:r w:rsidR="004A7F3C">
        <w:rPr>
          <w:rFonts w:eastAsia="Calibri"/>
          <w:lang w:eastAsia="ar-SA"/>
        </w:rPr>
        <w:t xml:space="preserve"> </w:t>
      </w:r>
      <w:r w:rsidR="002B1EFE">
        <w:rPr>
          <w:rFonts w:eastAsia="Calibri"/>
          <w:lang w:eastAsia="ar-SA"/>
        </w:rPr>
        <w:t>1</w:t>
      </w:r>
      <w:r w:rsidR="004A7F3C">
        <w:rPr>
          <w:rFonts w:eastAsia="Calibri"/>
          <w:lang w:eastAsia="ar-SA"/>
        </w:rPr>
        <w:t>2</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3A5C80">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lastRenderedPageBreak/>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3A5C80">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3A5C80">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lastRenderedPageBreak/>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 xml:space="preserve">г. Мурманск                                                                 </w:t>
      </w:r>
      <w:proofErr w:type="gramStart"/>
      <w:r w:rsidRPr="006C77E4">
        <w:rPr>
          <w:rFonts w:eastAsia="Times New Roman"/>
          <w:lang w:eastAsia="ru-RU"/>
        </w:rPr>
        <w:t xml:space="preserve">   «</w:t>
      </w:r>
      <w:proofErr w:type="gramEnd"/>
      <w:r w:rsidRPr="006C77E4">
        <w:rPr>
          <w:rFonts w:eastAsia="Times New Roman"/>
          <w:lang w:eastAsia="ru-RU"/>
        </w:rPr>
        <w:t>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lastRenderedPageBreak/>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C77E4">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3A5C80">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Pr="006C77E4">
        <w:rPr>
          <w:rFonts w:eastAsia="Calibri"/>
          <w:b/>
          <w:lang w:eastAsia="ar-SA"/>
        </w:rPr>
        <w:t>: «Капитальный ремонт</w:t>
      </w:r>
      <w:r w:rsidR="004A7F3C">
        <w:rPr>
          <w:rFonts w:eastAsia="Calibri"/>
          <w:b/>
          <w:lang w:eastAsia="ar-SA"/>
        </w:rPr>
        <w:t xml:space="preserve"> инженерных систем и крыши </w:t>
      </w:r>
      <w:r w:rsidR="004A7F3C" w:rsidRPr="006C77E4">
        <w:rPr>
          <w:rFonts w:eastAsia="Calibri"/>
          <w:b/>
          <w:lang w:eastAsia="ar-SA"/>
        </w:rPr>
        <w:t>многоквартирного</w:t>
      </w:r>
      <w:r w:rsidRPr="006C77E4">
        <w:rPr>
          <w:rFonts w:eastAsia="Calibri"/>
          <w:b/>
          <w:lang w:eastAsia="ar-SA"/>
        </w:rPr>
        <w:t xml:space="preserve"> дома, расположенного по адресу Мурманская област</w:t>
      </w:r>
      <w:r w:rsidR="002B1EFE">
        <w:rPr>
          <w:rFonts w:eastAsia="Calibri"/>
          <w:b/>
          <w:lang w:eastAsia="ar-SA"/>
        </w:rPr>
        <w:t>ь, г. Апатиты, ул. Ленина</w:t>
      </w:r>
      <w:r w:rsidR="004A7F3C">
        <w:rPr>
          <w:rFonts w:eastAsia="Calibri"/>
          <w:b/>
          <w:lang w:eastAsia="ar-SA"/>
        </w:rPr>
        <w:t xml:space="preserve"> д.</w:t>
      </w:r>
      <w:r w:rsidR="002B1EFE">
        <w:rPr>
          <w:rFonts w:eastAsia="Calibri"/>
          <w:b/>
          <w:lang w:eastAsia="ar-SA"/>
        </w:rPr>
        <w:t>1</w:t>
      </w:r>
      <w:r w:rsidR="004A7F3C">
        <w:rPr>
          <w:rFonts w:eastAsia="Calibri"/>
          <w:b/>
          <w:lang w:eastAsia="ar-SA"/>
        </w:rPr>
        <w:t>2</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407F59">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2B1EFE">
              <w:rPr>
                <w:sz w:val="24"/>
                <w:szCs w:val="24"/>
              </w:rPr>
              <w:t>ь, г. Апатиты, ул. Ленина</w:t>
            </w:r>
            <w:r w:rsidR="004A7F3C">
              <w:rPr>
                <w:sz w:val="24"/>
                <w:szCs w:val="24"/>
              </w:rPr>
              <w:t xml:space="preserve"> д.</w:t>
            </w:r>
            <w:r w:rsidR="002B1EFE">
              <w:rPr>
                <w:sz w:val="24"/>
                <w:szCs w:val="24"/>
              </w:rPr>
              <w:t>1</w:t>
            </w:r>
            <w:r w:rsidR="004A7F3C">
              <w:rPr>
                <w:sz w:val="24"/>
                <w:szCs w:val="24"/>
              </w:rPr>
              <w:t>2</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4C1243">
            <w:pPr>
              <w:ind w:left="33"/>
              <w:rPr>
                <w:sz w:val="24"/>
                <w:szCs w:val="24"/>
              </w:rPr>
            </w:pPr>
            <w:r w:rsidRPr="006C77E4">
              <w:rPr>
                <w:sz w:val="24"/>
                <w:szCs w:val="24"/>
              </w:rPr>
              <w:t xml:space="preserve">Краткие сведения об объекте </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этажей -</w:t>
            </w:r>
            <w:r w:rsidR="004C1243">
              <w:rPr>
                <w:rFonts w:eastAsia="Calibri"/>
                <w:sz w:val="24"/>
                <w:szCs w:val="24"/>
                <w:lang w:eastAsia="ar-SA"/>
              </w:rPr>
              <w:t>3</w:t>
            </w:r>
            <w:r w:rsidR="004C1243"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4C1243">
              <w:rPr>
                <w:rFonts w:eastAsia="Calibri"/>
                <w:sz w:val="24"/>
                <w:szCs w:val="24"/>
                <w:lang w:eastAsia="ar-SA"/>
              </w:rPr>
              <w:t>3</w:t>
            </w:r>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3B32BB">
              <w:rPr>
                <w:rFonts w:eastAsia="Calibri"/>
                <w:sz w:val="24"/>
                <w:szCs w:val="24"/>
                <w:lang w:eastAsia="ar-SA"/>
              </w:rPr>
              <w:t>1957</w:t>
            </w:r>
            <w:bookmarkStart w:id="0" w:name="_GoBack"/>
            <w:bookmarkEnd w:id="0"/>
          </w:p>
          <w:p w:rsidR="006C77E4" w:rsidRPr="006C77E4" w:rsidRDefault="006C77E4" w:rsidP="004C1243">
            <w:pPr>
              <w:suppressAutoHyphens/>
              <w:spacing w:after="0" w:line="240" w:lineRule="auto"/>
              <w:jc w:val="both"/>
              <w:rPr>
                <w:rFonts w:eastAsia="Calibri"/>
                <w:sz w:val="24"/>
                <w:szCs w:val="24"/>
                <w:lang w:eastAsia="ar-SA"/>
              </w:rPr>
            </w:pP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407F59">
        <w:trPr>
          <w:trHeight w:val="952"/>
        </w:trPr>
        <w:tc>
          <w:tcPr>
            <w:tcW w:w="622" w:type="dxa"/>
            <w:shd w:val="clear" w:color="auto" w:fill="auto"/>
          </w:tcPr>
          <w:p w:rsidR="006C77E4" w:rsidRPr="006C77E4" w:rsidRDefault="00407F59"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 xml:space="preserve">порядок выполнения комплекса работ по капитальному ремонту </w:t>
            </w:r>
            <w:r w:rsidR="004A7F3C">
              <w:rPr>
                <w:spacing w:val="-2"/>
                <w:sz w:val="24"/>
                <w:szCs w:val="24"/>
              </w:rPr>
              <w:t>инженерных систем и</w:t>
            </w:r>
            <w:r w:rsidR="00F82862">
              <w:rPr>
                <w:spacing w:val="-2"/>
                <w:sz w:val="24"/>
                <w:szCs w:val="24"/>
              </w:rPr>
              <w:t xml:space="preserve"> </w:t>
            </w:r>
            <w:r w:rsidR="004A7F3C">
              <w:rPr>
                <w:spacing w:val="-2"/>
                <w:sz w:val="24"/>
                <w:szCs w:val="24"/>
              </w:rPr>
              <w:t>крыши</w:t>
            </w:r>
            <w:r w:rsidRPr="006C77E4">
              <w:rPr>
                <w:spacing w:val="-2"/>
                <w:sz w:val="24"/>
                <w:szCs w:val="24"/>
              </w:rPr>
              <w:t>.</w:t>
            </w:r>
          </w:p>
          <w:p w:rsidR="006C77E4" w:rsidRPr="006C77E4" w:rsidRDefault="004A7F3C" w:rsidP="006C77E4">
            <w:pPr>
              <w:suppressAutoHyphens/>
              <w:spacing w:after="0" w:line="240" w:lineRule="auto"/>
              <w:jc w:val="both"/>
              <w:rPr>
                <w:sz w:val="24"/>
                <w:szCs w:val="24"/>
              </w:rPr>
            </w:pPr>
            <w:r>
              <w:rPr>
                <w:spacing w:val="-2"/>
                <w:sz w:val="24"/>
                <w:szCs w:val="24"/>
              </w:rPr>
              <w:t xml:space="preserve"> выполненный</w:t>
            </w:r>
            <w:r w:rsidR="006C77E4" w:rsidRPr="006C77E4">
              <w:rPr>
                <w:spacing w:val="-2"/>
                <w:sz w:val="24"/>
                <w:szCs w:val="24"/>
              </w:rPr>
              <w:t xml:space="preserve"> на основании </w:t>
            </w:r>
            <w:r w:rsidR="006C77E4" w:rsidRPr="006C77E4">
              <w:rPr>
                <w:bCs/>
                <w:spacing w:val="-2"/>
                <w:sz w:val="24"/>
                <w:szCs w:val="24"/>
              </w:rPr>
              <w:t>технического обследования, с подготовкой проектно-сметной документации, согласованной с Заказчиком</w:t>
            </w:r>
            <w:r w:rsidR="006C77E4" w:rsidRPr="006C77E4">
              <w:rPr>
                <w:spacing w:val="-2"/>
                <w:sz w:val="24"/>
                <w:szCs w:val="24"/>
              </w:rPr>
              <w:t>.</w:t>
            </w:r>
          </w:p>
        </w:tc>
      </w:tr>
      <w:tr w:rsidR="006C77E4" w:rsidRPr="006C77E4" w:rsidTr="00407F59">
        <w:tc>
          <w:tcPr>
            <w:tcW w:w="622" w:type="dxa"/>
            <w:shd w:val="clear" w:color="auto" w:fill="auto"/>
          </w:tcPr>
          <w:p w:rsidR="006C77E4" w:rsidRPr="006C77E4" w:rsidRDefault="006C77E4" w:rsidP="00407F59">
            <w:pPr>
              <w:jc w:val="center"/>
              <w:rPr>
                <w:sz w:val="24"/>
                <w:szCs w:val="24"/>
              </w:rPr>
            </w:pPr>
            <w:r w:rsidRPr="006C77E4">
              <w:rPr>
                <w:sz w:val="24"/>
                <w:szCs w:val="24"/>
              </w:rPr>
              <w:t>1</w:t>
            </w:r>
            <w:r w:rsidR="00407F59">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 xml:space="preserve">технического обследования </w:t>
            </w:r>
            <w:r w:rsidR="004A7F3C">
              <w:rPr>
                <w:rFonts w:eastAsia="Calibri"/>
                <w:bCs/>
                <w:spacing w:val="-2"/>
                <w:sz w:val="24"/>
                <w:szCs w:val="24"/>
                <w:lang w:eastAsia="ar-SA"/>
              </w:rPr>
              <w:t>инженерных систем и</w:t>
            </w:r>
            <w:r w:rsidR="00F82862">
              <w:rPr>
                <w:rFonts w:eastAsia="Calibri"/>
                <w:bCs/>
                <w:spacing w:val="-2"/>
                <w:sz w:val="24"/>
                <w:szCs w:val="24"/>
                <w:lang w:eastAsia="ar-SA"/>
              </w:rPr>
              <w:t xml:space="preserve"> </w:t>
            </w:r>
            <w:r w:rsidR="004A7F3C">
              <w:rPr>
                <w:rFonts w:eastAsia="Calibri"/>
                <w:bCs/>
                <w:spacing w:val="-2"/>
                <w:sz w:val="24"/>
                <w:szCs w:val="24"/>
                <w:lang w:eastAsia="ar-SA"/>
              </w:rPr>
              <w:t>крыши.</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Pr="006C77E4">
              <w:rPr>
                <w:rFonts w:eastAsia="Calibri"/>
                <w:sz w:val="24"/>
                <w:szCs w:val="24"/>
                <w:lang w:eastAsia="ar-SA"/>
              </w:rPr>
              <w:t xml:space="preserve">схему </w:t>
            </w:r>
            <w:r w:rsidR="004A7F3C" w:rsidRPr="006C77E4">
              <w:rPr>
                <w:rFonts w:eastAsia="Calibri"/>
                <w:sz w:val="24"/>
                <w:szCs w:val="24"/>
                <w:lang w:eastAsia="ar-SA"/>
              </w:rPr>
              <w:t xml:space="preserve">крыши </w:t>
            </w:r>
            <w:r w:rsidR="004A7F3C">
              <w:rPr>
                <w:rFonts w:eastAsia="Calibri"/>
                <w:sz w:val="24"/>
                <w:szCs w:val="24"/>
                <w:lang w:eastAsia="ar-SA"/>
              </w:rPr>
              <w:t>в</w:t>
            </w:r>
            <w:r w:rsidRPr="006C77E4">
              <w:rPr>
                <w:rFonts w:eastAsia="Calibri"/>
                <w:sz w:val="24"/>
                <w:szCs w:val="24"/>
                <w:lang w:eastAsia="ar-SA"/>
              </w:rPr>
              <w:t xml:space="preserve">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Изготовление </w:t>
            </w:r>
            <w:r w:rsidR="00F82862">
              <w:rPr>
                <w:rFonts w:eastAsia="Calibri"/>
                <w:sz w:val="24"/>
                <w:szCs w:val="24"/>
                <w:lang w:eastAsia="ar-SA"/>
              </w:rPr>
              <w:t>проектно-</w:t>
            </w:r>
            <w:r w:rsidRPr="006C77E4">
              <w:rPr>
                <w:rFonts w:eastAsia="Calibri"/>
                <w:sz w:val="24"/>
                <w:szCs w:val="24"/>
                <w:lang w:eastAsia="ar-SA"/>
              </w:rPr>
              <w:t>сметной документации на капитальный ремонт</w:t>
            </w:r>
            <w:r w:rsidR="004A7F3C">
              <w:rPr>
                <w:rFonts w:eastAsia="Calibri"/>
                <w:sz w:val="24"/>
                <w:szCs w:val="24"/>
                <w:lang w:eastAsia="ar-SA"/>
              </w:rPr>
              <w:t xml:space="preserve"> инженерных систем и </w:t>
            </w:r>
            <w:r w:rsidR="00DA517A">
              <w:rPr>
                <w:rFonts w:eastAsia="Calibri"/>
                <w:sz w:val="24"/>
                <w:szCs w:val="24"/>
                <w:lang w:eastAsia="ar-SA"/>
              </w:rPr>
              <w:t>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 по капитальному ремонту</w:t>
            </w:r>
            <w:r w:rsidR="00DA517A">
              <w:rPr>
                <w:rFonts w:eastAsia="Calibri"/>
                <w:spacing w:val="-2"/>
                <w:sz w:val="24"/>
                <w:szCs w:val="24"/>
                <w:lang w:eastAsia="ar-SA"/>
              </w:rPr>
              <w:t xml:space="preserve"> инженерных систем и </w:t>
            </w:r>
            <w:r w:rsidR="004C1243">
              <w:rPr>
                <w:rFonts w:eastAsia="Calibri"/>
                <w:spacing w:val="-2"/>
                <w:sz w:val="24"/>
                <w:szCs w:val="24"/>
                <w:lang w:eastAsia="ar-SA"/>
              </w:rPr>
              <w:t>крыши, утвержденного</w:t>
            </w:r>
            <w:r w:rsidRPr="006C77E4">
              <w:rPr>
                <w:rFonts w:eastAsia="Calibri"/>
                <w:spacing w:val="-2"/>
                <w:sz w:val="24"/>
                <w:szCs w:val="24"/>
                <w:lang w:eastAsia="ar-SA"/>
              </w:rPr>
              <w:t xml:space="preserve"> Заказчиком.</w:t>
            </w:r>
          </w:p>
        </w:tc>
      </w:tr>
      <w:tr w:rsidR="006C77E4" w:rsidRPr="006C77E4" w:rsidTr="00407F59">
        <w:trPr>
          <w:trHeight w:val="247"/>
        </w:trPr>
        <w:tc>
          <w:tcPr>
            <w:tcW w:w="622" w:type="dxa"/>
            <w:shd w:val="clear" w:color="auto" w:fill="auto"/>
          </w:tcPr>
          <w:p w:rsidR="006C77E4" w:rsidRPr="006C77E4" w:rsidRDefault="00407F59"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Схема 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6C77E4">
              <w:rPr>
                <w:rFonts w:eastAsia="Calibri"/>
                <w:sz w:val="24"/>
                <w:szCs w:val="24"/>
                <w:lang w:eastAsia="ar-SA"/>
              </w:rPr>
              <w:t>редак</w:t>
            </w:r>
            <w:proofErr w:type="spellEnd"/>
            <w:r w:rsidRPr="006C77E4">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w:t>
            </w:r>
            <w:r w:rsidR="00DA517A">
              <w:rPr>
                <w:rFonts w:eastAsia="Calibri"/>
                <w:sz w:val="24"/>
                <w:szCs w:val="24"/>
                <w:lang w:eastAsia="ar-SA"/>
              </w:rPr>
              <w:t xml:space="preserve"> инженерных систем и крыши</w:t>
            </w:r>
            <w:r w:rsidRPr="006C77E4">
              <w:rPr>
                <w:rFonts w:eastAsia="Calibri"/>
                <w:sz w:val="24"/>
                <w:szCs w:val="24"/>
                <w:lang w:eastAsia="ar-SA"/>
              </w:rPr>
              <w:t>;</w:t>
            </w:r>
          </w:p>
          <w:p w:rsidR="006C77E4" w:rsidRPr="006C77E4" w:rsidRDefault="00F82862" w:rsidP="006C77E4">
            <w:pPr>
              <w:spacing w:after="0" w:line="240" w:lineRule="auto"/>
              <w:jc w:val="both"/>
              <w:rPr>
                <w:rFonts w:eastAsia="Calibri"/>
                <w:sz w:val="24"/>
                <w:szCs w:val="24"/>
                <w:lang w:eastAsia="ar-SA"/>
              </w:rPr>
            </w:pPr>
            <w:r w:rsidRPr="006C77E4">
              <w:rPr>
                <w:rFonts w:eastAsia="Calibri"/>
                <w:sz w:val="24"/>
                <w:szCs w:val="24"/>
                <w:lang w:eastAsia="ar-SA"/>
              </w:rPr>
              <w:lastRenderedPageBreak/>
              <w:t>-</w:t>
            </w:r>
            <w:r w:rsidRPr="006C77E4">
              <w:rPr>
                <w:rFonts w:eastAsia="Calibri"/>
                <w:color w:val="FFFFFF" w:themeColor="background1"/>
                <w:sz w:val="24"/>
                <w:szCs w:val="24"/>
                <w:lang w:eastAsia="ar-SA"/>
              </w:rPr>
              <w:t>.</w:t>
            </w:r>
            <w:r w:rsidRPr="006C77E4">
              <w:rPr>
                <w:rFonts w:eastAsia="Calibri"/>
                <w:sz w:val="24"/>
                <w:szCs w:val="24"/>
                <w:lang w:eastAsia="ar-SA"/>
              </w:rPr>
              <w:t xml:space="preserve"> материалы</w:t>
            </w:r>
            <w:r w:rsidR="006C77E4"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lastRenderedPageBreak/>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w:t>
            </w:r>
            <w:proofErr w:type="spellStart"/>
            <w:r w:rsidRPr="006C77E4">
              <w:rPr>
                <w:rFonts w:eastAsia="Calibri"/>
                <w:sz w:val="24"/>
                <w:szCs w:val="24"/>
                <w:lang w:eastAsia="ar-SA"/>
              </w:rPr>
              <w:t>doc</w:t>
            </w:r>
            <w:proofErr w:type="spellEnd"/>
            <w:r w:rsidRPr="006C77E4">
              <w:rPr>
                <w:rFonts w:eastAsia="Calibri"/>
                <w:sz w:val="24"/>
                <w:szCs w:val="24"/>
                <w:lang w:eastAsia="ar-SA"/>
              </w:rPr>
              <w:t>, *.</w:t>
            </w:r>
            <w:proofErr w:type="spellStart"/>
            <w:r w:rsidRPr="006C77E4">
              <w:rPr>
                <w:rFonts w:eastAsia="Calibri"/>
                <w:sz w:val="24"/>
                <w:szCs w:val="24"/>
                <w:lang w:eastAsia="ar-SA"/>
              </w:rPr>
              <w:t>xls</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w:t>
            </w:r>
            <w:proofErr w:type="spellStart"/>
            <w:r w:rsidRPr="006C77E4">
              <w:rPr>
                <w:rFonts w:eastAsia="Calibri"/>
                <w:sz w:val="24"/>
                <w:szCs w:val="24"/>
                <w:lang w:eastAsia="ar-SA"/>
              </w:rPr>
              <w:t>dwg</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w:t>
            </w:r>
            <w:proofErr w:type="spellStart"/>
            <w:r w:rsidRPr="006C77E4">
              <w:rPr>
                <w:rFonts w:eastAsia="Calibri"/>
                <w:sz w:val="24"/>
                <w:szCs w:val="24"/>
                <w:lang w:eastAsia="ar-SA"/>
              </w:rPr>
              <w:t>pdf</w:t>
            </w:r>
            <w:proofErr w:type="spellEnd"/>
            <w:r w:rsidRPr="006C77E4">
              <w:rPr>
                <w:rFonts w:eastAsia="Calibri"/>
                <w:sz w:val="24"/>
                <w:szCs w:val="24"/>
                <w:lang w:eastAsia="ar-SA"/>
              </w:rPr>
              <w:t>, *.</w:t>
            </w:r>
            <w:proofErr w:type="spellStart"/>
            <w:r w:rsidRPr="006C77E4">
              <w:rPr>
                <w:rFonts w:eastAsia="Calibri"/>
                <w:sz w:val="24"/>
                <w:szCs w:val="24"/>
                <w:lang w:eastAsia="ar-SA"/>
              </w:rPr>
              <w:t>gif</w:t>
            </w:r>
            <w:proofErr w:type="spellEnd"/>
            <w:r w:rsidRPr="006C77E4">
              <w:rPr>
                <w:rFonts w:eastAsia="Calibri"/>
                <w:sz w:val="24"/>
                <w:szCs w:val="24"/>
                <w:lang w:eastAsia="ar-SA"/>
              </w:rPr>
              <w:t>, *.</w:t>
            </w:r>
            <w:proofErr w:type="spellStart"/>
            <w:r w:rsidRPr="006C77E4">
              <w:rPr>
                <w:rFonts w:eastAsia="Calibri"/>
                <w:sz w:val="24"/>
                <w:szCs w:val="24"/>
                <w:lang w:eastAsia="ar-SA"/>
              </w:rPr>
              <w:t>jpeg</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C77E4">
              <w:rPr>
                <w:rFonts w:eastAsia="Calibri"/>
                <w:sz w:val="24"/>
                <w:szCs w:val="24"/>
                <w:lang w:eastAsia="ar-SA"/>
              </w:rPr>
              <w:t>xls</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xlsx</w:t>
            </w:r>
            <w:proofErr w:type="spellEnd"/>
            <w:r w:rsidRPr="006C77E4">
              <w:rPr>
                <w:rFonts w:eastAsia="Calibri"/>
                <w:sz w:val="24"/>
                <w:szCs w:val="24"/>
                <w:lang w:eastAsia="ar-SA"/>
              </w:rPr>
              <w:t>) или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С подписями и печатями продублирован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ведомости объемов работ должны быть представлены в формате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и продублированы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407F59">
        <w:trPr>
          <w:trHeight w:val="2266"/>
        </w:trPr>
        <w:tc>
          <w:tcPr>
            <w:tcW w:w="622" w:type="dxa"/>
            <w:shd w:val="clear" w:color="auto" w:fill="auto"/>
          </w:tcPr>
          <w:p w:rsidR="006C77E4" w:rsidRPr="006C77E4" w:rsidRDefault="00407F59"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lastRenderedPageBreak/>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лоту: «Капитальный ремонт</w:t>
      </w:r>
      <w:r w:rsidR="00DA517A">
        <w:rPr>
          <w:rFonts w:eastAsia="Calibri"/>
          <w:b/>
          <w:lang w:eastAsia="ar-SA"/>
        </w:rPr>
        <w:t xml:space="preserve"> инженерных систем и крыши </w:t>
      </w:r>
      <w:r w:rsidR="00DA517A" w:rsidRPr="006C77E4">
        <w:rPr>
          <w:rFonts w:eastAsia="Calibri"/>
          <w:b/>
          <w:lang w:eastAsia="ar-SA"/>
        </w:rPr>
        <w:t>многоквартирного</w:t>
      </w:r>
      <w:r w:rsidRPr="006C77E4">
        <w:rPr>
          <w:rFonts w:eastAsia="Calibri"/>
          <w:b/>
          <w:lang w:eastAsia="ar-SA"/>
        </w:rPr>
        <w:t xml:space="preserve"> дома, расположенного по адр</w:t>
      </w:r>
      <w:r w:rsidR="00DA517A">
        <w:rPr>
          <w:rFonts w:eastAsia="Calibri"/>
          <w:b/>
          <w:lang w:eastAsia="ar-SA"/>
        </w:rPr>
        <w:t>есу: Мурманская обл., г. Апатиты</w:t>
      </w:r>
      <w:r w:rsidRPr="006C77E4">
        <w:rPr>
          <w:rFonts w:eastAsia="Calibri"/>
          <w:b/>
          <w:lang w:eastAsia="ar-SA"/>
        </w:rPr>
        <w:t>,</w:t>
      </w:r>
      <w:r w:rsidR="00DA517A">
        <w:rPr>
          <w:rFonts w:eastAsia="Calibri"/>
          <w:b/>
          <w:lang w:eastAsia="ar-SA"/>
        </w:rPr>
        <w:t xml:space="preserve"> ул.</w:t>
      </w:r>
      <w:r w:rsidR="002B1EFE">
        <w:rPr>
          <w:rFonts w:eastAsia="Calibri"/>
          <w:b/>
          <w:lang w:eastAsia="ar-SA"/>
        </w:rPr>
        <w:t xml:space="preserve"> Ленина</w:t>
      </w:r>
      <w:r w:rsidR="00DA517A">
        <w:rPr>
          <w:rFonts w:eastAsia="Calibri"/>
          <w:b/>
          <w:lang w:eastAsia="ar-SA"/>
        </w:rPr>
        <w:t xml:space="preserve"> д.</w:t>
      </w:r>
      <w:r w:rsidR="002B1EFE">
        <w:rPr>
          <w:rFonts w:eastAsia="Calibri"/>
          <w:b/>
          <w:lang w:eastAsia="ar-SA"/>
        </w:rPr>
        <w:t>1</w:t>
      </w:r>
      <w:r w:rsidR="00DA517A">
        <w:rPr>
          <w:rFonts w:eastAsia="Calibri"/>
          <w:b/>
          <w:lang w:eastAsia="ar-SA"/>
        </w:rPr>
        <w:t>2</w:t>
      </w:r>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3A5C8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3A5C8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3A5C8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C2F" w:rsidRDefault="00DE0C2F">
      <w:pPr>
        <w:spacing w:after="0" w:line="240" w:lineRule="auto"/>
      </w:pPr>
      <w:r>
        <w:separator/>
      </w:r>
    </w:p>
  </w:endnote>
  <w:endnote w:type="continuationSeparator" w:id="0">
    <w:p w:rsidR="00DE0C2F" w:rsidRDefault="00DE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99" w:rsidRDefault="000674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67499" w:rsidRPr="00F320A5" w:rsidRDefault="00067499" w:rsidP="00E00564">
    <w:pPr>
      <w:pStyle w:val="af2"/>
      <w:ind w:right="360" w:firstLine="360"/>
      <w:jc w:val="center"/>
      <w:rPr>
        <w:sz w:val="18"/>
        <w:szCs w:val="18"/>
      </w:rPr>
    </w:pPr>
  </w:p>
  <w:p w:rsidR="00067499" w:rsidRDefault="000674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99" w:rsidRDefault="000674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67499" w:rsidRDefault="0006749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99" w:rsidRDefault="00067499" w:rsidP="00E00564">
    <w:pPr>
      <w:pStyle w:val="af2"/>
      <w:framePr w:wrap="around" w:vAnchor="text" w:hAnchor="margin" w:xAlign="right" w:y="1"/>
      <w:rPr>
        <w:rStyle w:val="af1"/>
      </w:rPr>
    </w:pPr>
  </w:p>
  <w:p w:rsidR="00067499" w:rsidRDefault="0006749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C2F" w:rsidRDefault="00DE0C2F">
      <w:pPr>
        <w:spacing w:after="0" w:line="240" w:lineRule="auto"/>
      </w:pPr>
      <w:r>
        <w:separator/>
      </w:r>
    </w:p>
  </w:footnote>
  <w:footnote w:type="continuationSeparator" w:id="0">
    <w:p w:rsidR="00DE0C2F" w:rsidRDefault="00DE0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99" w:rsidRPr="000B39A5" w:rsidRDefault="00067499">
    <w:pPr>
      <w:pStyle w:val="af"/>
      <w:jc w:val="center"/>
      <w:rPr>
        <w:sz w:val="18"/>
        <w:szCs w:val="18"/>
      </w:rPr>
    </w:pPr>
  </w:p>
  <w:p w:rsidR="00067499" w:rsidRDefault="0006749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99" w:rsidRPr="000B39A5" w:rsidRDefault="00067499">
    <w:pPr>
      <w:pStyle w:val="af"/>
      <w:jc w:val="center"/>
      <w:rPr>
        <w:sz w:val="18"/>
        <w:szCs w:val="18"/>
      </w:rPr>
    </w:pPr>
  </w:p>
  <w:p w:rsidR="00067499" w:rsidRDefault="0006749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1623"/>
    <w:rsid w:val="0002188C"/>
    <w:rsid w:val="00022629"/>
    <w:rsid w:val="00036851"/>
    <w:rsid w:val="00040D23"/>
    <w:rsid w:val="000462DA"/>
    <w:rsid w:val="00047602"/>
    <w:rsid w:val="00053EB6"/>
    <w:rsid w:val="00057603"/>
    <w:rsid w:val="00057988"/>
    <w:rsid w:val="00067499"/>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71C"/>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A99"/>
    <w:rsid w:val="00296C21"/>
    <w:rsid w:val="00297E41"/>
    <w:rsid w:val="002B1C35"/>
    <w:rsid w:val="002B1EFE"/>
    <w:rsid w:val="002B489E"/>
    <w:rsid w:val="002B48DC"/>
    <w:rsid w:val="002B6099"/>
    <w:rsid w:val="002B6F06"/>
    <w:rsid w:val="002C13E3"/>
    <w:rsid w:val="002C3D4C"/>
    <w:rsid w:val="002D36C8"/>
    <w:rsid w:val="002D6DFC"/>
    <w:rsid w:val="002E05EB"/>
    <w:rsid w:val="002E0CA4"/>
    <w:rsid w:val="002E14EE"/>
    <w:rsid w:val="002E454A"/>
    <w:rsid w:val="002E490E"/>
    <w:rsid w:val="002E6A2E"/>
    <w:rsid w:val="002E78F1"/>
    <w:rsid w:val="002F00D3"/>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5C80"/>
    <w:rsid w:val="003A60F6"/>
    <w:rsid w:val="003B0A87"/>
    <w:rsid w:val="003B0FE6"/>
    <w:rsid w:val="003B2808"/>
    <w:rsid w:val="003B2FAA"/>
    <w:rsid w:val="003B32BB"/>
    <w:rsid w:val="003C3844"/>
    <w:rsid w:val="003C391E"/>
    <w:rsid w:val="003C481C"/>
    <w:rsid w:val="003E0EBD"/>
    <w:rsid w:val="003F065C"/>
    <w:rsid w:val="003F1281"/>
    <w:rsid w:val="003F3B60"/>
    <w:rsid w:val="003F7692"/>
    <w:rsid w:val="00401D74"/>
    <w:rsid w:val="00405F97"/>
    <w:rsid w:val="004066CC"/>
    <w:rsid w:val="00407346"/>
    <w:rsid w:val="00407F59"/>
    <w:rsid w:val="00413A92"/>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A7F3C"/>
    <w:rsid w:val="004B1AFC"/>
    <w:rsid w:val="004B3B3C"/>
    <w:rsid w:val="004B3C3C"/>
    <w:rsid w:val="004B650A"/>
    <w:rsid w:val="004B6974"/>
    <w:rsid w:val="004C0BD9"/>
    <w:rsid w:val="004C1243"/>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10A"/>
    <w:rsid w:val="00541E1F"/>
    <w:rsid w:val="005438D2"/>
    <w:rsid w:val="00550183"/>
    <w:rsid w:val="00552F19"/>
    <w:rsid w:val="0055669B"/>
    <w:rsid w:val="005573F5"/>
    <w:rsid w:val="00557ED8"/>
    <w:rsid w:val="005639B1"/>
    <w:rsid w:val="005652A1"/>
    <w:rsid w:val="00565709"/>
    <w:rsid w:val="00573A36"/>
    <w:rsid w:val="00575295"/>
    <w:rsid w:val="00576051"/>
    <w:rsid w:val="005762AA"/>
    <w:rsid w:val="0058782A"/>
    <w:rsid w:val="0059042D"/>
    <w:rsid w:val="00592F32"/>
    <w:rsid w:val="005941D0"/>
    <w:rsid w:val="0059481C"/>
    <w:rsid w:val="005974EC"/>
    <w:rsid w:val="005A131D"/>
    <w:rsid w:val="005A57F7"/>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E5DD9"/>
    <w:rsid w:val="006F288D"/>
    <w:rsid w:val="006F3DC5"/>
    <w:rsid w:val="006F4F4A"/>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030"/>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4957"/>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755F0"/>
    <w:rsid w:val="00A94D58"/>
    <w:rsid w:val="00AA3C38"/>
    <w:rsid w:val="00AA74EF"/>
    <w:rsid w:val="00AA7D0A"/>
    <w:rsid w:val="00AB12EC"/>
    <w:rsid w:val="00AB163B"/>
    <w:rsid w:val="00AB6229"/>
    <w:rsid w:val="00AB6775"/>
    <w:rsid w:val="00AC0AC5"/>
    <w:rsid w:val="00AC0AE6"/>
    <w:rsid w:val="00AD0349"/>
    <w:rsid w:val="00AD256B"/>
    <w:rsid w:val="00AE2230"/>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0B3B"/>
    <w:rsid w:val="00B558E6"/>
    <w:rsid w:val="00B56887"/>
    <w:rsid w:val="00B65C7E"/>
    <w:rsid w:val="00B66DE3"/>
    <w:rsid w:val="00B75237"/>
    <w:rsid w:val="00B77885"/>
    <w:rsid w:val="00B827D6"/>
    <w:rsid w:val="00B909BC"/>
    <w:rsid w:val="00B939FC"/>
    <w:rsid w:val="00BA2E44"/>
    <w:rsid w:val="00BA551E"/>
    <w:rsid w:val="00BA55D5"/>
    <w:rsid w:val="00BA7055"/>
    <w:rsid w:val="00BA7CEB"/>
    <w:rsid w:val="00BB500F"/>
    <w:rsid w:val="00BC120C"/>
    <w:rsid w:val="00BC18E4"/>
    <w:rsid w:val="00BC3927"/>
    <w:rsid w:val="00BD23DD"/>
    <w:rsid w:val="00BD498A"/>
    <w:rsid w:val="00BD62AB"/>
    <w:rsid w:val="00BD685B"/>
    <w:rsid w:val="00BE0AEF"/>
    <w:rsid w:val="00BE11CE"/>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BF9"/>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4EDB"/>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646"/>
    <w:rsid w:val="00D22795"/>
    <w:rsid w:val="00D22A6D"/>
    <w:rsid w:val="00D24439"/>
    <w:rsid w:val="00D251E2"/>
    <w:rsid w:val="00D25339"/>
    <w:rsid w:val="00D27F9B"/>
    <w:rsid w:val="00D31208"/>
    <w:rsid w:val="00D32A4F"/>
    <w:rsid w:val="00D330E2"/>
    <w:rsid w:val="00D4392E"/>
    <w:rsid w:val="00D43ACF"/>
    <w:rsid w:val="00D43AD1"/>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A517A"/>
    <w:rsid w:val="00DB47CA"/>
    <w:rsid w:val="00DC2823"/>
    <w:rsid w:val="00DC600D"/>
    <w:rsid w:val="00DD0244"/>
    <w:rsid w:val="00DD23F5"/>
    <w:rsid w:val="00DD6A8E"/>
    <w:rsid w:val="00DE0C2F"/>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5A7F"/>
    <w:rsid w:val="00ED753B"/>
    <w:rsid w:val="00EE0425"/>
    <w:rsid w:val="00EE2C3B"/>
    <w:rsid w:val="00EE35E5"/>
    <w:rsid w:val="00EE4BA7"/>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184F"/>
    <w:rsid w:val="00F75A51"/>
    <w:rsid w:val="00F77FD4"/>
    <w:rsid w:val="00F82862"/>
    <w:rsid w:val="00F83FD4"/>
    <w:rsid w:val="00F86494"/>
    <w:rsid w:val="00F865E7"/>
    <w:rsid w:val="00F87434"/>
    <w:rsid w:val="00FA10F4"/>
    <w:rsid w:val="00FA1E9F"/>
    <w:rsid w:val="00FA2868"/>
    <w:rsid w:val="00FA683A"/>
    <w:rsid w:val="00FB1279"/>
    <w:rsid w:val="00FB52E8"/>
    <w:rsid w:val="00FD27B1"/>
    <w:rsid w:val="00FE146C"/>
    <w:rsid w:val="00FE1707"/>
    <w:rsid w:val="00FE22BD"/>
    <w:rsid w:val="00FE3413"/>
    <w:rsid w:val="00FF3591"/>
    <w:rsid w:val="00FF36D4"/>
    <w:rsid w:val="00FF4B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19563051">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164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6EF9-FA29-4211-8327-E7128D62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32</Pages>
  <Words>10009</Words>
  <Characters>57054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cp:revision>
  <cp:lastPrinted>2016-05-05T15:55:00Z</cp:lastPrinted>
  <dcterms:created xsi:type="dcterms:W3CDTF">2016-05-05T16:16:00Z</dcterms:created>
  <dcterms:modified xsi:type="dcterms:W3CDTF">2016-06-09T13:53:00Z</dcterms:modified>
</cp:coreProperties>
</file>